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320" w:before="0"/>
      </w:pPr>
      <w:r>
        <w:t xml:space="preserve"/>
      </w:r>
    </w:p>
    <w:p>
      <w:pPr>
        <w:spacing w:after="0" w:before="0"/>
        <w:jc w:val="center"/>
      </w:pPr>
      <w:r>
        <w:rPr>
          <w:rFonts w:ascii="Arial" w:cs="Arial" w:eastAsia="Arial" w:hAnsi="Arial"/>
          <w:b/>
          <w:bCs/>
          <w:color w:val="1a1a2e"/>
          <w:sz w:val="88"/>
          <w:szCs w:val="88"/>
        </w:rPr>
        <w:t xml:space="preserve">EU COVID-19</w:t>
      </w:r>
    </w:p>
    <w:p>
      <w:pPr>
        <w:spacing w:after="180" w:before="0"/>
        <w:jc w:val="center"/>
      </w:pPr>
      <w:r>
        <w:rPr>
          <w:rFonts w:ascii="Arial" w:cs="Arial" w:eastAsia="Arial" w:hAnsi="Arial"/>
          <w:b/>
          <w:bCs/>
          <w:color w:val="1a1a2e"/>
          <w:sz w:val="88"/>
          <w:szCs w:val="88"/>
        </w:rPr>
        <w:t xml:space="preserve">VACCINE CONTRACTS</w:t>
      </w:r>
    </w:p>
    <w:p>
      <w:pPr>
        <w:spacing w:after="100" w:before="0"/>
        <w:jc w:val="center"/>
      </w:pPr>
      <w:r>
        <w:rPr>
          <w:rFonts w:ascii="Arial" w:cs="Arial" w:eastAsia="Arial" w:hAnsi="Arial"/>
          <w:i/>
          <w:iCs/>
          <w:color w:val="444444"/>
          <w:sz w:val="32"/>
          <w:szCs w:val="32"/>
        </w:rPr>
        <w:t xml:space="preserve">Analysis, Network Mapping and Accountability Record</w:t>
      </w:r>
    </w:p>
    <w:p>
      <w:pPr>
        <w:spacing w:after="180" w:before="0"/>
        <w:jc w:val="center"/>
      </w:pPr>
      <w:r>
        <w:rPr>
          <w:rFonts w:ascii="Arial" w:cs="Arial" w:eastAsia="Arial" w:hAnsi="Arial"/>
          <w:color w:val="888888"/>
          <w:sz w:val="24"/>
          <w:szCs w:val="24"/>
        </w:rPr>
        <w:t xml:space="preserve">Version 9  ·  May 2026</w:t>
      </w:r>
    </w:p>
    <w:p>
      <w:pPr>
        <w:spacing w:after="60" w:before="0"/>
        <w:jc w:val="center"/>
      </w:pPr>
      <w:r>
        <w:rPr>
          <w:rFonts w:ascii="Arial" w:cs="Arial" w:eastAsia="Arial" w:hAnsi="Arial"/>
          <w:b/>
          <w:bCs/>
          <w:color w:val="555555"/>
          <w:sz w:val="20"/>
          <w:szCs w:val="20"/>
        </w:rPr>
        <w:t xml:space="preserve">Based on primary source documents:</w:t>
      </w:r>
    </w:p>
    <w:p>
      <w:pPr>
        <w:spacing w:after="40" w:before="0"/>
        <w:jc w:val="center"/>
      </w:pPr>
      <w:r>
        <w:rPr>
          <w:rFonts w:ascii="Arial" w:cs="Arial" w:eastAsia="Arial" w:hAnsi="Arial"/>
          <w:color w:val="666666"/>
          <w:sz w:val="18"/>
          <w:szCs w:val="18"/>
        </w:rPr>
        <w:t xml:space="preserve">Unredacted EU vaccine contracts  ·  Pfizer 5.3.6 post-marketing adverse event report</w:t>
      </w:r>
    </w:p>
    <w:p>
      <w:pPr>
        <w:spacing w:after="40" w:before="0"/>
        <w:jc w:val="center"/>
      </w:pPr>
      <w:r>
        <w:rPr>
          <w:rFonts w:ascii="Arial" w:cs="Arial" w:eastAsia="Arial" w:hAnsi="Arial"/>
          <w:color w:val="666666"/>
          <w:sz w:val="18"/>
          <w:szCs w:val="18"/>
        </w:rPr>
        <w:t xml:space="preserve">Comirnaty occupational safety datasheet  ·  EMA correspondence with MEPs</w:t>
      </w:r>
    </w:p>
    <w:p>
      <w:pPr>
        <w:spacing w:after="0" w:before="0"/>
        <w:jc w:val="center"/>
      </w:pPr>
      <w:r>
        <w:rPr>
          <w:rFonts w:ascii="Arial" w:cs="Arial" w:eastAsia="Arial" w:hAnsi="Arial"/>
          <w:color w:val="666666"/>
          <w:sz w:val="18"/>
          <w:szCs w:val="18"/>
        </w:rPr>
        <w:t xml:space="preserve">Rothschild &amp; Co self-published investor materials  ·  Verified press reporting</w:t>
      </w:r>
    </w:p>
    <w:p>
      <w:r>
        <w:br w:type="page"/>
      </w:r>
    </w:p>
    <w:p>
      <w:pPr>
        <w:spacing w:after="80" w:before="0"/>
      </w:pPr>
      <w:r>
        <w:t xml:space="preserve"/>
      </w:r>
    </w:p>
    <w:p>
      <w:pPr>
        <w:spacing w:after="40" w:before="0"/>
        <w:jc w:val="center"/>
      </w:pPr>
      <w:r>
        <w:rPr>
          <w:rFonts w:ascii="Arial" w:cs="Arial" w:eastAsia="Arial" w:hAnsi="Arial"/>
          <w:b/>
          <w:bCs/>
          <w:color w:val="1a1a2e"/>
          <w:sz w:val="40"/>
          <w:szCs w:val="40"/>
        </w:rPr>
        <w:t xml:space="preserve">DOCUMENTED NETWORK</w:t>
      </w:r>
    </w:p>
    <w:p>
      <w:pPr>
        <w:spacing w:after="100" w:before="0"/>
        <w:jc w:val="center"/>
      </w:pPr>
      <w:r>
        <w:drawing>
          <wp:inline distT="0" distB="0" distL="0" distR="0">
            <wp:extent cx="5905500" cy="59055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5905500" cy="5905500"/>
                    </a:xfrm>
                    <a:prstGeom prst="rect">
                      <a:avLst/>
                    </a:prstGeom>
                  </pic:spPr>
                </pic:pic>
              </a:graphicData>
            </a:graphic>
          </wp:inline>
        </w:drawing>
      </w:r>
    </w:p>
    <w:p>
      <w:pPr>
        <w:spacing w:after="0" w:before="0"/>
        <w:jc w:val="center"/>
      </w:pPr>
      <w:r>
        <w:rPr>
          <w:rFonts w:ascii="Arial" w:cs="Arial" w:eastAsia="Arial" w:hAnsi="Arial"/>
          <w:i/>
          <w:iCs/>
          <w:color w:val="888888"/>
          <w:sz w:val="16"/>
          <w:szCs w:val="16"/>
        </w:rPr>
        <w:t xml:space="preserve">All connections established by primary sources. No inference beyond the documented evidence is asserted.</w:t>
      </w:r>
    </w:p>
    <w:p>
      <w:r>
        <w:br w:type="page"/>
      </w:r>
    </w:p>
    <w:p>
      <w:pPr>
        <w:pStyle w:val="Heading1"/>
        <w:pBdr>
          <w:bottom w:val="single" w:color="1a1a2e" w:sz="8" w:space="4"/>
        </w:pBdr>
        <w:spacing w:after="120" w:before="300"/>
      </w:pPr>
      <w:r>
        <w:rPr>
          <w:rFonts w:ascii="Arial" w:cs="Arial" w:eastAsia="Arial" w:hAnsi="Arial"/>
          <w:b/>
          <w:bCs/>
          <w:color w:val="1a1a2e"/>
          <w:sz w:val="28"/>
          <w:szCs w:val="28"/>
        </w:rPr>
        <w:t xml:space="preserve">Table of Contents</w:t>
      </w:r>
    </w:p>
    <w:p>
      <w:pPr>
        <w:spacing w:after="40" w:before="0"/>
      </w:pPr>
      <w:r>
        <w:t xml:space="preserve"/>
      </w:r>
    </w:p>
    <w:p>
      <w:pPr>
        <w:pBdr>
          <w:bottom w:val="single" w:color="dddddd" w:sz="1" w:space="4"/>
        </w:pBdr>
        <w:spacing w:after="60" w:before="60"/>
      </w:pPr>
      <w:r>
        <w:rPr>
          <w:rFonts w:ascii="Arial" w:cs="Arial" w:eastAsia="Arial" w:hAnsi="Arial"/>
          <w:b/>
          <w:bCs/>
          <w:color w:val="CC0000"/>
          <w:sz w:val="22"/>
          <w:szCs w:val="22"/>
        </w:rPr>
        <w:t xml:space="preserve">01.  </w:t>
      </w:r>
      <w:r>
        <w:rPr>
          <w:rFonts w:ascii="Arial" w:cs="Arial" w:eastAsia="Arial" w:hAnsi="Arial"/>
          <w:color w:val="111111"/>
          <w:sz w:val="22"/>
          <w:szCs w:val="22"/>
        </w:rPr>
        <w:t xml:space="preserve">1. Executive Summary</w:t>
      </w:r>
    </w:p>
    <w:p>
      <w:pPr>
        <w:pBdr>
          <w:bottom w:val="single" w:color="dddddd" w:sz="1" w:space="4"/>
        </w:pBdr>
        <w:spacing w:after="60" w:before="60"/>
      </w:pPr>
      <w:r>
        <w:rPr>
          <w:rFonts w:ascii="Arial" w:cs="Arial" w:eastAsia="Arial" w:hAnsi="Arial"/>
          <w:b/>
          <w:bCs/>
          <w:color w:val="CC0000"/>
          <w:sz w:val="22"/>
          <w:szCs w:val="22"/>
        </w:rPr>
        <w:t xml:space="preserve">02.  </w:t>
      </w:r>
      <w:r>
        <w:rPr>
          <w:rFonts w:ascii="Arial" w:cs="Arial" w:eastAsia="Arial" w:hAnsi="Arial"/>
          <w:color w:val="111111"/>
          <w:sz w:val="22"/>
          <w:szCs w:val="22"/>
        </w:rPr>
        <w:t xml:space="preserve">2. The Key Individuals</w:t>
      </w:r>
    </w:p>
    <w:p>
      <w:pPr>
        <w:pBdr>
          <w:bottom w:val="single" w:color="dddddd" w:sz="1" w:space="4"/>
        </w:pBdr>
        <w:spacing w:after="60" w:before="60"/>
      </w:pPr>
      <w:r>
        <w:rPr>
          <w:rFonts w:ascii="Arial" w:cs="Arial" w:eastAsia="Arial" w:hAnsi="Arial"/>
          <w:b/>
          <w:bCs/>
          <w:color w:val="CC0000"/>
          <w:sz w:val="22"/>
          <w:szCs w:val="22"/>
        </w:rPr>
        <w:t xml:space="preserve">03.  </w:t>
      </w:r>
      <w:r>
        <w:rPr>
          <w:rFonts w:ascii="Arial" w:cs="Arial" w:eastAsia="Arial" w:hAnsi="Arial"/>
          <w:color w:val="111111"/>
          <w:sz w:val="22"/>
          <w:szCs w:val="22"/>
        </w:rPr>
        <w:t xml:space="preserve">3. Accountability Table</w:t>
      </w:r>
    </w:p>
    <w:p>
      <w:pPr>
        <w:pBdr>
          <w:bottom w:val="single" w:color="dddddd" w:sz="1" w:space="4"/>
        </w:pBdr>
        <w:spacing w:after="60" w:before="60"/>
      </w:pPr>
      <w:r>
        <w:rPr>
          <w:rFonts w:ascii="Arial" w:cs="Arial" w:eastAsia="Arial" w:hAnsi="Arial"/>
          <w:b/>
          <w:bCs/>
          <w:color w:val="CC0000"/>
          <w:sz w:val="22"/>
          <w:szCs w:val="22"/>
        </w:rPr>
        <w:t xml:space="preserve">04.  </w:t>
      </w:r>
      <w:r>
        <w:rPr>
          <w:rFonts w:ascii="Arial" w:cs="Arial" w:eastAsia="Arial" w:hAnsi="Arial"/>
          <w:color w:val="111111"/>
          <w:sz w:val="22"/>
          <w:szCs w:val="22"/>
        </w:rPr>
        <w:t xml:space="preserve">4. The Network — Elite Circulation and Institutional Capture</w:t>
      </w:r>
    </w:p>
    <w:p>
      <w:pPr>
        <w:pBdr>
          <w:bottom w:val="single" w:color="dddddd" w:sz="1" w:space="4"/>
        </w:pBdr>
        <w:spacing w:after="60" w:before="60"/>
      </w:pPr>
      <w:r>
        <w:rPr>
          <w:rFonts w:ascii="Arial" w:cs="Arial" w:eastAsia="Arial" w:hAnsi="Arial"/>
          <w:b/>
          <w:bCs/>
          <w:color w:val="CC0000"/>
          <w:sz w:val="22"/>
          <w:szCs w:val="22"/>
        </w:rPr>
        <w:t xml:space="preserve">05.  </w:t>
      </w:r>
      <w:r>
        <w:rPr>
          <w:rFonts w:ascii="Arial" w:cs="Arial" w:eastAsia="Arial" w:hAnsi="Arial"/>
          <w:color w:val="111111"/>
          <w:sz w:val="22"/>
          <w:szCs w:val="22"/>
        </w:rPr>
        <w:t xml:space="preserve">5. The Contracts — What Was Hidden and Why</w:t>
      </w:r>
    </w:p>
    <w:p>
      <w:pPr>
        <w:pBdr>
          <w:bottom w:val="single" w:color="dddddd" w:sz="1" w:space="4"/>
        </w:pBdr>
        <w:spacing w:after="60" w:before="60"/>
      </w:pPr>
      <w:r>
        <w:rPr>
          <w:rFonts w:ascii="Arial" w:cs="Arial" w:eastAsia="Arial" w:hAnsi="Arial"/>
          <w:b/>
          <w:bCs/>
          <w:color w:val="CC0000"/>
          <w:sz w:val="22"/>
          <w:szCs w:val="22"/>
        </w:rPr>
        <w:t xml:space="preserve">06.  </w:t>
      </w:r>
      <w:r>
        <w:rPr>
          <w:rFonts w:ascii="Arial" w:cs="Arial" w:eastAsia="Arial" w:hAnsi="Arial"/>
          <w:color w:val="111111"/>
          <w:sz w:val="22"/>
          <w:szCs w:val="22"/>
        </w:rPr>
        <w:t xml:space="preserve">6. Safety Data — What Was Known and When</w:t>
      </w:r>
    </w:p>
    <w:p>
      <w:pPr>
        <w:pBdr>
          <w:bottom w:val="single" w:color="dddddd" w:sz="1" w:space="4"/>
        </w:pBdr>
        <w:spacing w:after="60" w:before="60"/>
      </w:pPr>
      <w:r>
        <w:rPr>
          <w:rFonts w:ascii="Arial" w:cs="Arial" w:eastAsia="Arial" w:hAnsi="Arial"/>
          <w:b/>
          <w:bCs/>
          <w:color w:val="CC0000"/>
          <w:sz w:val="22"/>
          <w:szCs w:val="22"/>
        </w:rPr>
        <w:t xml:space="preserve">07.  </w:t>
      </w:r>
      <w:r>
        <w:rPr>
          <w:rFonts w:ascii="Arial" w:cs="Arial" w:eastAsia="Arial" w:hAnsi="Arial"/>
          <w:color w:val="111111"/>
          <w:sz w:val="22"/>
          <w:szCs w:val="22"/>
        </w:rPr>
        <w:t xml:space="preserve">7. Compulsion Without Mandate</w:t>
      </w:r>
    </w:p>
    <w:p>
      <w:pPr>
        <w:pBdr>
          <w:bottom w:val="single" w:color="dddddd" w:sz="1" w:space="4"/>
        </w:pBdr>
        <w:spacing w:after="60" w:before="60"/>
      </w:pPr>
      <w:r>
        <w:rPr>
          <w:rFonts w:ascii="Arial" w:cs="Arial" w:eastAsia="Arial" w:hAnsi="Arial"/>
          <w:b/>
          <w:bCs/>
          <w:color w:val="CC0000"/>
          <w:sz w:val="22"/>
          <w:szCs w:val="22"/>
        </w:rPr>
        <w:t xml:space="preserve">08.  </w:t>
      </w:r>
      <w:r>
        <w:rPr>
          <w:rFonts w:ascii="Arial" w:cs="Arial" w:eastAsia="Arial" w:hAnsi="Arial"/>
          <w:color w:val="111111"/>
          <w:sz w:val="22"/>
          <w:szCs w:val="22"/>
        </w:rPr>
        <w:t xml:space="preserve">8. Merkel, the Stasi, and the Sealed File</w:t>
      </w:r>
    </w:p>
    <w:p>
      <w:pPr>
        <w:pBdr>
          <w:bottom w:val="single" w:color="dddddd" w:sz="1" w:space="4"/>
        </w:pBdr>
        <w:spacing w:after="60" w:before="60"/>
      </w:pPr>
      <w:r>
        <w:rPr>
          <w:rFonts w:ascii="Arial" w:cs="Arial" w:eastAsia="Arial" w:hAnsi="Arial"/>
          <w:b/>
          <w:bCs/>
          <w:color w:val="CC0000"/>
          <w:sz w:val="22"/>
          <w:szCs w:val="22"/>
        </w:rPr>
        <w:t xml:space="preserve">09.  </w:t>
      </w:r>
      <w:r>
        <w:rPr>
          <w:rFonts w:ascii="Arial" w:cs="Arial" w:eastAsia="Arial" w:hAnsi="Arial"/>
          <w:color w:val="111111"/>
          <w:sz w:val="22"/>
          <w:szCs w:val="22"/>
        </w:rPr>
        <w:t xml:space="preserve">9. Source Attribution — Complete and Corrected</w:t>
      </w:r>
    </w:p>
    <w:p>
      <w:pPr>
        <w:pBdr>
          <w:bottom w:val="single" w:color="dddddd" w:sz="1" w:space="4"/>
        </w:pBdr>
        <w:spacing w:after="60" w:before="60"/>
      </w:pPr>
      <w:r>
        <w:rPr>
          <w:rFonts w:ascii="Arial" w:cs="Arial" w:eastAsia="Arial" w:hAnsi="Arial"/>
          <w:b/>
          <w:bCs/>
          <w:color w:val="CC0000"/>
          <w:sz w:val="22"/>
          <w:szCs w:val="22"/>
        </w:rPr>
        <w:t xml:space="preserve">10.  </w:t>
      </w:r>
      <w:r>
        <w:rPr>
          <w:rFonts w:ascii="Arial" w:cs="Arial" w:eastAsia="Arial" w:hAnsi="Arial"/>
          <w:color w:val="111111"/>
          <w:sz w:val="22"/>
          <w:szCs w:val="22"/>
        </w:rPr>
        <w:t xml:space="preserve">10. Summary Findings</w:t>
      </w:r>
    </w:p>
    <w:p>
      <w:pPr>
        <w:spacing w:after="8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1. Executive Summary</w:t>
      </w:r>
    </w:p>
    <w:p>
      <w:pPr>
        <w:spacing w:after="60" w:before="60" w:line="288"/>
        <w:jc w:val="both"/>
      </w:pPr>
      <w:r>
        <w:rPr>
          <w:rFonts w:ascii="Arial" w:cs="Arial" w:eastAsia="Arial" w:hAnsi="Arial"/>
          <w:b w:val="false"/>
          <w:bCs w:val="false"/>
          <w:i w:val="false"/>
          <w:iCs w:val="false"/>
          <w:color w:val="1a1a1a"/>
          <w:sz w:val="20"/>
          <w:szCs w:val="20"/>
        </w:rPr>
        <w:t xml:space="preserve">This report analyses the unredacted Advance Purchase Agreements concluded between the European Commission and Pfizer/BioNTech and Moderna for COVID-19 vaccines, alongside post-marketing safety data, occupational safety documentation, EMA regulatory correspondence, and the political and judicial context in which these contracts were executed and enforced.</w:t>
      </w:r>
    </w:p>
    <w:p>
      <w:pPr>
        <w:spacing w:after="60" w:before="60" w:line="288"/>
        <w:jc w:val="both"/>
      </w:pPr>
      <w:r>
        <w:rPr>
          <w:rFonts w:ascii="Arial" w:cs="Arial" w:eastAsia="Arial" w:hAnsi="Arial"/>
          <w:b w:val="false"/>
          <w:bCs w:val="false"/>
          <w:i w:val="false"/>
          <w:iCs w:val="false"/>
          <w:color w:val="1a1a1a"/>
          <w:sz w:val="20"/>
          <w:szCs w:val="20"/>
        </w:rPr>
        <w:t xml:space="preserve">Version 6 incorporates: (a) the full text of the Supplemental Evidence document; (b) corrected source attributions throughout; (c) the Rothschild &amp; Co self-published Pfizer investor interview as primary evidence; and (d) expanded network mapping of the Macron–Rothschild–Pfizer–Von der Leyen chain.</w:t>
      </w:r>
    </w:p>
    <w:p>
      <w:pPr>
        <w:spacing w:after="60" w:before="60" w:line="288"/>
        <w:jc w:val="both"/>
      </w:pPr>
      <w:r>
        <w:rPr>
          <w:rFonts w:ascii="Arial" w:cs="Arial" w:eastAsia="Arial" w:hAnsi="Arial"/>
          <w:b w:val="false"/>
          <w:bCs w:val="false"/>
          <w:i w:val="false"/>
          <w:iCs w:val="false"/>
          <w:color w:val="1a1a1a"/>
          <w:sz w:val="20"/>
          <w:szCs w:val="20"/>
        </w:rPr>
        <w:t xml:space="preserve">The documents establish the following beyond reasonable dispute: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vaccine procurement was personally directed by European Commission President Ursula von der Leyen via private text messages with Pfizer CEO Albert Bourla. Those messages have been deleted or declared lost. The EU General Court has ruled this explanation implausible. The European Public Prosecutor's Office is investigating Von der Leyen for possible destruction of evidence, corruption, and conflict of interest.</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was installed as Commission President through a backroom deal engineered by French President Emmanuel Macron — a former Rothschild &amp; Cie banker whose first major deal was for Pfizer, who is described by the Rothschild family as their protégé.</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Leyen's husband became Medical Director of a pharmaceutical company receiving EU funding in September 2020 — the same month EU vaccine procurement strategy was being finalised. This was not disclosed.</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Both contracts transferred all liability to Member States and ultimately to citizens, while the companies retained full IP ownership funded substantially by public money.</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Every Member State government signed documents explicitly acknowledging long-term effects were unknown — while communicating the opposite to citizens.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Within 90 days of rollout, Pfizer had identified 1,291 adverse event categories warranting special monitoring. The FDA was asked to suppress this data for 75 years.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EMA confirmed in writing to MEPs that the vaccines were not authorised to prevent transmission — the stated justification for vaccine passports and access restrictions across Europe.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Formal vaccine mandates were democratically defeated in the Bundestag. Access restrictions achieving near-equivalent compulsion were implemented by executive action, bypassing parliamentary scrutiny.</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Merkel blocked the TRIPS intellectual property waiver throughout 2021, protecting the same pharmaceutical monopolies guaranteed in the contracts she had sanctioned domestically.</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text messages that would answer who instructed whom have been destroyed.</w:t>
      </w:r>
    </w:p>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2. The Key Individuals</w:t>
      </w:r>
    </w:p>
    <w:p>
      <w:pPr>
        <w:pStyle w:val="Heading2"/>
        <w:spacing w:after="80" w:before="200"/>
      </w:pPr>
      <w:r>
        <w:rPr>
          <w:rFonts w:ascii="Arial" w:cs="Arial" w:eastAsia="Arial" w:hAnsi="Arial"/>
          <w:b/>
          <w:bCs/>
          <w:color w:val="1a1a2e"/>
          <w:sz w:val="22"/>
          <w:szCs w:val="22"/>
        </w:rPr>
        <w:t xml:space="preserve">2.1 Ursula von der Leyen — European Commission President</w:t>
      </w:r>
    </w:p>
    <w:p>
      <w:pPr>
        <w:spacing w:after="60" w:before="60" w:line="288"/>
        <w:jc w:val="both"/>
      </w:pPr>
      <w:r>
        <w:rPr>
          <w:rFonts w:ascii="Arial" w:cs="Arial" w:eastAsia="Arial" w:hAnsi="Arial"/>
          <w:b w:val="false"/>
          <w:bCs w:val="false"/>
          <w:i w:val="false"/>
          <w:iCs w:val="false"/>
          <w:color w:val="1a1a1a"/>
          <w:sz w:val="20"/>
          <w:szCs w:val="20"/>
        </w:rPr>
        <w:t xml:space="preserve">Von der Leyen is the central figure. She personally negotiated the larger Pfizer deal by private text message. She presented the award to Pfizer's CEO at a Washington ceremony while under investigation. Her husband holds a pharmaceutical executive role. The evidence trail regarding her communications has been destroyed.</w:t>
      </w:r>
    </w:p>
    <w:p>
      <w:pPr>
        <w:spacing w:after="60" w:before="60" w:line="288"/>
        <w:jc w:val="both"/>
      </w:pPr>
      <w:r>
        <w:rPr>
          <w:rFonts w:ascii="Arial" w:cs="Arial" w:eastAsia="Arial" w:hAnsi="Arial"/>
          <w:b w:val="false"/>
          <w:bCs w:val="false"/>
          <w:i w:val="false"/>
          <w:iCs w:val="false"/>
          <w:color w:val="1a1a1a"/>
          <w:sz w:val="20"/>
          <w:szCs w:val="20"/>
        </w:rPr>
        <w:t xml:space="preserve">Background: Born in Brussels 1958 to Ernst Albrecht, one of the first European civil servants. Attended the European School in Brussels — the institution created for children of EU civil servants. Studied economics at the LSE, medicine in Hanover. Spent years in California while her husband worked at Stanford. Entered German politics in 2003.</w:t>
      </w:r>
    </w:p>
    <w:p>
      <w:pPr>
        <w:spacing w:after="60" w:before="60" w:line="288"/>
        <w:jc w:val="both"/>
      </w:pPr>
      <w:r>
        <w:rPr>
          <w:rFonts w:ascii="Arial" w:cs="Arial" w:eastAsia="Arial" w:hAnsi="Arial"/>
          <w:b w:val="false"/>
          <w:bCs w:val="false"/>
          <w:i w:val="false"/>
          <w:iCs w:val="false"/>
          <w:color w:val="1a1a1a"/>
          <w:sz w:val="20"/>
          <w:szCs w:val="20"/>
        </w:rPr>
        <w:t xml:space="preserve">Appointed to four successive cabinet posts by Chancellor Merkel (2005–2019): Minister for Family Affairs, Minister for Labour, and twice Minister for Defence — making her the only minister to have served continuously in Merkel's cabinet throughout the entire chancellorship.</w:t>
      </w:r>
    </w:p>
    <w:p>
      <w:pPr>
        <w:spacing w:after="60" w:before="60" w:line="288"/>
        <w:jc w:val="both"/>
      </w:pPr>
      <w:r>
        <w:rPr>
          <w:rFonts w:ascii="Arial" w:cs="Arial" w:eastAsia="Arial" w:hAnsi="Arial"/>
          <w:b w:val="false"/>
          <w:bCs w:val="false"/>
          <w:i w:val="false"/>
          <w:iCs w:val="false"/>
          <w:color w:val="1a1a1a"/>
          <w:sz w:val="20"/>
          <w:szCs w:val="20"/>
        </w:rPr>
        <w:t xml:space="preserve">Her domestic career stalled amid Defence Ministry procurement scandals and a doctoral plagiarism challenge. She was rescued by Macron's backroom manoeuvre at the 2019 European Council.</w:t>
      </w:r>
    </w:p>
    <w:p>
      <w:pPr>
        <w:spacing w:after="60" w:before="60" w:line="288"/>
        <w:jc w:val="both"/>
      </w:pPr>
      <w:r>
        <w:rPr>
          <w:rFonts w:ascii="Arial" w:cs="Arial" w:eastAsia="Arial" w:hAnsi="Arial"/>
          <w:b w:val="false"/>
          <w:bCs w:val="false"/>
          <w:i w:val="false"/>
          <w:iCs w:val="false"/>
          <w:color w:val="1a1a1a"/>
          <w:sz w:val="20"/>
          <w:szCs w:val="20"/>
        </w:rPr>
        <w:t xml:space="preserve">Current legal status: Under EPPO investigation for interference in public functions, destruction of SMS, corruption, and conflict of interest. No charges filed. Re-elected Commission President for a second term in July 2024.</w:t>
      </w:r>
    </w:p>
    <w:p>
      <w:pPr>
        <w:spacing w:after="100" w:before="40"/>
        <w:ind w:left="360"/>
      </w:pPr>
      <w:r>
        <w:rPr>
          <w:rFonts w:ascii="Arial" w:cs="Arial" w:eastAsia="Arial" w:hAnsi="Arial"/>
          <w:b w:val="false"/>
          <w:bCs w:val="false"/>
          <w:i/>
          <w:iCs/>
          <w:color w:val="555555"/>
          <w:sz w:val="17"/>
          <w:szCs w:val="17"/>
        </w:rPr>
        <w:t xml:space="preserve">Sources: Britannica biography; Wikipedia — Von der Leyen Commission I; </w:t>
      </w:r>
      <w:hyperlink w:history="1" r:id="rIdebvo78cgobak0nl9owzfq">
        <w:r>
          <w:rPr>
            <w:rFonts w:ascii="Arial" w:cs="Arial" w:eastAsia="Arial" w:hAnsi="Arial"/>
            <w:color w:val="1155CC"/>
            <w:sz w:val="18"/>
            <w:szCs w:val="18"/>
            <w:u w:val="single"/>
          </w:rPr>
          <w:t xml:space="preserve">France 24, 1 December 2019</w:t>
        </w:r>
      </w:hyperlink>
      <w:r>
        <w:rPr>
          <w:rFonts w:ascii="Arial" w:cs="Arial" w:eastAsia="Arial" w:hAnsi="Arial"/>
          <w:b w:val="false"/>
          <w:bCs w:val="false"/>
          <w:i/>
          <w:iCs/>
          <w:color w:val="555555"/>
          <w:sz w:val="17"/>
          <w:szCs w:val="17"/>
        </w:rPr>
        <w:t xml:space="preserve">; </w:t>
      </w:r>
      <w:hyperlink w:history="1" r:id="rIdd0om7hdbrotfc89dhomr8">
        <w:r>
          <w:rPr>
            <w:rFonts w:ascii="Arial" w:cs="Arial" w:eastAsia="Arial" w:hAnsi="Arial"/>
            <w:color w:val="1155CC"/>
            <w:sz w:val="18"/>
            <w:szCs w:val="18"/>
            <w:u w:val="single"/>
          </w:rPr>
          <w:t xml:space="preserve">Foreign Policy, 30 April 2021</w:t>
        </w:r>
      </w:hyperlink>
      <w:r>
        <w:rPr>
          <w:rFonts w:ascii="Arial" w:cs="Arial" w:eastAsia="Arial" w:hAnsi="Arial"/>
          <w:b w:val="false"/>
          <w:bCs w:val="false"/>
          <w:i/>
          <w:iCs/>
          <w:color w:val="555555"/>
          <w:sz w:val="17"/>
          <w:szCs w:val="17"/>
        </w:rPr>
        <w:t xml:space="preserve">; </w:t>
      </w:r>
      <w:hyperlink w:history="1" r:id="rId2nz_fyejigunfr0gehjgt">
        <w:r>
          <w:rPr>
            <w:rFonts w:ascii="Arial" w:cs="Arial" w:eastAsia="Arial" w:hAnsi="Arial"/>
            <w:color w:val="1155CC"/>
            <w:sz w:val="18"/>
            <w:szCs w:val="18"/>
            <w:u w:val="single"/>
          </w:rPr>
          <w:t xml:space="preserve">CDU Geschichte biography</w:t>
        </w:r>
      </w:hyperlink>
    </w:p>
    <w:p>
      <w:pPr>
        <w:pStyle w:val="Heading2"/>
        <w:spacing w:after="80" w:before="200"/>
      </w:pPr>
      <w:r>
        <w:rPr>
          <w:rFonts w:ascii="Arial" w:cs="Arial" w:eastAsia="Arial" w:hAnsi="Arial"/>
          <w:b/>
          <w:bCs/>
          <w:color w:val="1a1a2e"/>
          <w:sz w:val="22"/>
          <w:szCs w:val="22"/>
        </w:rPr>
        <w:t xml:space="preserve">2.2 Albert Bourla — Pfizer Chairman and CEO</w:t>
      </w:r>
    </w:p>
    <w:p>
      <w:pPr>
        <w:spacing w:after="60" w:before="60" w:line="288"/>
        <w:jc w:val="both"/>
      </w:pPr>
      <w:r>
        <w:rPr>
          <w:rFonts w:ascii="Arial" w:cs="Arial" w:eastAsia="Arial" w:hAnsi="Arial"/>
          <w:b w:val="false"/>
          <w:bCs w:val="false"/>
          <w:i w:val="false"/>
          <w:iCs w:val="false"/>
          <w:color w:val="1a1a1a"/>
          <w:sz w:val="20"/>
          <w:szCs w:val="20"/>
        </w:rPr>
        <w:t xml:space="preserve">Bourla personally negotiated with Von der Leyen by private text and phone call. He twice declined invitations to testify before the European Parliament's COVID committee. He jointly received the Atlantic Council's Distinguished Leadership Award with Von der Leyen in November 2021 — at a ceremony where both praised each other in effusive personal terms ('dear Albert,' 'almost cried') while the Commission was being investigated for how the contracts were negotiated.</w:t>
      </w:r>
    </w:p>
    <w:p>
      <w:pPr>
        <w:spacing w:after="100" w:before="40"/>
        <w:ind w:left="360"/>
      </w:pPr>
      <w:r>
        <w:rPr>
          <w:rFonts w:ascii="Arial" w:cs="Arial" w:eastAsia="Arial" w:hAnsi="Arial"/>
          <w:b w:val="false"/>
          <w:bCs w:val="false"/>
          <w:i/>
          <w:iCs/>
          <w:color w:val="555555"/>
          <w:sz w:val="17"/>
          <w:szCs w:val="17"/>
        </w:rPr>
        <w:t xml:space="preserve">Sources: New York Times, May 2022; European Parliament COVID committee records; Atlantic Council ceremony records, 10 November 2021.</w:t>
      </w:r>
    </w:p>
    <w:p>
      <w:pPr>
        <w:pStyle w:val="Heading2"/>
        <w:spacing w:after="80" w:before="200"/>
      </w:pPr>
      <w:r>
        <w:rPr>
          <w:rFonts w:ascii="Arial" w:cs="Arial" w:eastAsia="Arial" w:hAnsi="Arial"/>
          <w:b/>
          <w:bCs/>
          <w:color w:val="1a1a2e"/>
          <w:sz w:val="22"/>
          <w:szCs w:val="22"/>
        </w:rPr>
        <w:t xml:space="preserve">2.3 Stella Kyriakides — EU Health Commissioner</w:t>
      </w:r>
    </w:p>
    <w:p>
      <w:pPr>
        <w:spacing w:after="60" w:before="60" w:line="288"/>
        <w:jc w:val="both"/>
      </w:pPr>
      <w:r>
        <w:rPr>
          <w:rFonts w:ascii="Arial" w:cs="Arial" w:eastAsia="Arial" w:hAnsi="Arial"/>
          <w:b w:val="false"/>
          <w:bCs w:val="false"/>
          <w:i w:val="false"/>
          <w:iCs w:val="false"/>
          <w:color w:val="1a1a1a"/>
          <w:sz w:val="20"/>
          <w:szCs w:val="20"/>
        </w:rPr>
        <w:t xml:space="preserve">Kyriakides is the formal signatory of both contracts — her signature legally bound all 27 Member States. She was appointed to her role by Von der Leyen. Before MEPs she insisted 'the Commission president was not involved in any COVID vaccine contract negotiations' — a claim directly contradicted by Von der Leyen's own admission to the New York Times that she negotiated by text. No investigation of Kyriakides has been announced.</w:t>
      </w:r>
    </w:p>
    <w:p>
      <w:pPr>
        <w:spacing w:after="100" w:before="40"/>
        <w:ind w:left="360"/>
      </w:pPr>
      <w:r>
        <w:rPr>
          <w:rFonts w:ascii="Arial" w:cs="Arial" w:eastAsia="Arial" w:hAnsi="Arial"/>
          <w:b w:val="false"/>
          <w:bCs w:val="false"/>
          <w:i/>
          <w:iCs/>
          <w:color w:val="555555"/>
          <w:sz w:val="17"/>
          <w:szCs w:val="17"/>
        </w:rPr>
        <w:t xml:space="preserve">Sources: Pfizer APA contract (SANTE/2020/C3/043); Moderna PA (SANTE/2021/C3/010); European Parliament hearing transcripts.</w:t>
      </w:r>
    </w:p>
    <w:p>
      <w:pPr>
        <w:pStyle w:val="Heading2"/>
        <w:spacing w:after="80" w:before="200"/>
      </w:pPr>
      <w:r>
        <w:rPr>
          <w:rFonts w:ascii="Arial" w:cs="Arial" w:eastAsia="Arial" w:hAnsi="Arial"/>
          <w:b/>
          <w:bCs/>
          <w:color w:val="1a1a2e"/>
          <w:sz w:val="22"/>
          <w:szCs w:val="22"/>
        </w:rPr>
        <w:t xml:space="preserve">2.4 Emmanuel Macron — President of France</w:t>
      </w:r>
    </w:p>
    <w:p>
      <w:pPr>
        <w:spacing w:after="60" w:before="60" w:line="288"/>
        <w:jc w:val="both"/>
      </w:pPr>
      <w:r>
        <w:rPr>
          <w:rFonts w:ascii="Arial" w:cs="Arial" w:eastAsia="Arial" w:hAnsi="Arial"/>
          <w:b w:val="false"/>
          <w:bCs w:val="false"/>
          <w:i w:val="false"/>
          <w:iCs w:val="false"/>
          <w:color w:val="1a1a1a"/>
          <w:sz w:val="20"/>
          <w:szCs w:val="20"/>
        </w:rPr>
        <w:t xml:space="preserve">Macron is Von der Leyen's kingmaker — the person who proposed her name at the deadlocked 2019 European Council summit and engineered her appointment. He has also been her primary political backer for her second term.</w:t>
      </w:r>
    </w:p>
    <w:p>
      <w:pPr>
        <w:spacing w:after="60" w:before="60" w:line="288"/>
        <w:jc w:val="both"/>
      </w:pPr>
      <w:r>
        <w:rPr>
          <w:rFonts w:ascii="Arial" w:cs="Arial" w:eastAsia="Arial" w:hAnsi="Arial"/>
          <w:b w:val="false"/>
          <w:bCs w:val="false"/>
          <w:i w:val="false"/>
          <w:iCs w:val="false"/>
          <w:color w:val="1a1a1a"/>
          <w:sz w:val="20"/>
          <w:szCs w:val="20"/>
        </w:rPr>
        <w:t xml:space="preserve">From 2008 to 2012 he worked as an investment banker at Rothschild &amp; Cie Banque, earning approximately €3 million and rising to managing director in two years — an unusually rapid ascent. One of his signature deals was brokering Nestlé's $11.8 billion acquisition of Pfizer's baby food division in 2012 — his first documented professional relationship with Pfizer. The Financial Times described him in 2018 as David de Rothschild's 'protégé'; Rothschild praised Macron as 'decisive, intelligent and courageous' and said his rise seemed like 'the planets had aligned.'</w:t>
      </w:r>
    </w:p>
    <w:p>
      <w:pPr>
        <w:spacing w:after="60" w:before="60" w:line="288"/>
        <w:jc w:val="both"/>
      </w:pPr>
      <w:r>
        <w:rPr>
          <w:rFonts w:ascii="Arial" w:cs="Arial" w:eastAsia="Arial" w:hAnsi="Arial"/>
          <w:b w:val="false"/>
          <w:bCs w:val="false"/>
          <w:i w:val="false"/>
          <w:iCs w:val="false"/>
          <w:color w:val="1a1a1a"/>
          <w:sz w:val="20"/>
          <w:szCs w:val="20"/>
        </w:rPr>
        <w:t xml:space="preserve">Macron left Rothschild in 2012, was appointed Economics Minister in 2014, founded his own political movement in 2016, and was elected President in 2017. In 2019 he installed Von der Leyen. In 2021 he was among the most aggressive European leaders pushing vaccine access restrictions — France implemented a vaccine pass system covering restaurants, transport, and public life.</w:t>
      </w:r>
    </w:p>
    <w:p>
      <w:pPr>
        <w:spacing w:after="100" w:before="40"/>
        <w:ind w:left="360"/>
      </w:pPr>
      <w:r>
        <w:rPr>
          <w:rFonts w:ascii="Arial" w:cs="Arial" w:eastAsia="Arial" w:hAnsi="Arial"/>
          <w:b w:val="false"/>
          <w:bCs w:val="false"/>
          <w:i/>
          <w:iCs/>
          <w:color w:val="555555"/>
          <w:sz w:val="17"/>
          <w:szCs w:val="17"/>
        </w:rPr>
        <w:t xml:space="preserve">Sources: Wikipedia — Emmanuel Macron; Financial Times, 2018; </w:t>
      </w:r>
      <w:hyperlink w:history="1" r:id="rId1b6iyqusue8agsilpiof4">
        <w:r>
          <w:rPr>
            <w:rFonts w:ascii="Arial" w:cs="Arial" w:eastAsia="Arial" w:hAnsi="Arial"/>
            <w:color w:val="1155CC"/>
            <w:sz w:val="18"/>
            <w:szCs w:val="18"/>
            <w:u w:val="single"/>
          </w:rPr>
          <w:t xml:space="preserve">Money.com (Macron / Nestlé-Pfizer deal)</w:t>
        </w:r>
      </w:hyperlink>
      <w:r>
        <w:rPr>
          <w:rFonts w:ascii="Arial" w:cs="Arial" w:eastAsia="Arial" w:hAnsi="Arial"/>
          <w:b w:val="false"/>
          <w:bCs w:val="false"/>
          <w:i/>
          <w:iCs/>
          <w:color w:val="555555"/>
          <w:sz w:val="17"/>
          <w:szCs w:val="17"/>
        </w:rPr>
        <w:t xml:space="preserve">; </w:t>
      </w:r>
      <w:hyperlink w:history="1" r:id="rIdc2ekyt664ywikz7id712z">
        <w:r>
          <w:rPr>
            <w:rFonts w:ascii="Arial" w:cs="Arial" w:eastAsia="Arial" w:hAnsi="Arial"/>
            <w:color w:val="1155CC"/>
            <w:sz w:val="18"/>
            <w:szCs w:val="18"/>
            <w:u w:val="single"/>
          </w:rPr>
          <w:t xml:space="preserve">Factually.co (Macron–Rothschild connections)</w:t>
        </w:r>
      </w:hyperlink>
      <w:r>
        <w:rPr>
          <w:rFonts w:ascii="Arial" w:cs="Arial" w:eastAsia="Arial" w:hAnsi="Arial"/>
          <w:b w:val="false"/>
          <w:bCs w:val="false"/>
          <w:i/>
          <w:iCs/>
          <w:color w:val="555555"/>
          <w:sz w:val="17"/>
          <w:szCs w:val="17"/>
        </w:rPr>
        <w:t xml:space="preserve">; </w:t>
      </w:r>
      <w:hyperlink w:history="1" r:id="rId8x-zykas9xfjuwflhwrgd">
        <w:r>
          <w:rPr>
            <w:rFonts w:ascii="Arial" w:cs="Arial" w:eastAsia="Arial" w:hAnsi="Arial"/>
            <w:color w:val="1155CC"/>
            <w:sz w:val="18"/>
            <w:szCs w:val="18"/>
            <w:u w:val="single"/>
          </w:rPr>
          <w:t xml:space="preserve">Great Game India</w:t>
        </w:r>
      </w:hyperlink>
    </w:p>
    <w:p>
      <w:pPr>
        <w:pStyle w:val="Heading2"/>
        <w:spacing w:after="80" w:before="200"/>
      </w:pPr>
      <w:r>
        <w:rPr>
          <w:rFonts w:ascii="Arial" w:cs="Arial" w:eastAsia="Arial" w:hAnsi="Arial"/>
          <w:b/>
          <w:bCs/>
          <w:color w:val="1a1a2e"/>
          <w:sz w:val="22"/>
          <w:szCs w:val="22"/>
        </w:rPr>
        <w:t xml:space="preserve">2.5 Angela Merkel — German Chancellor 2005–2021</w:t>
      </w:r>
    </w:p>
    <w:p>
      <w:pPr>
        <w:spacing w:after="60" w:before="60" w:line="288"/>
        <w:jc w:val="both"/>
      </w:pPr>
      <w:r>
        <w:rPr>
          <w:rFonts w:ascii="Arial" w:cs="Arial" w:eastAsia="Arial" w:hAnsi="Arial"/>
          <w:b w:val="false"/>
          <w:bCs w:val="false"/>
          <w:i w:val="false"/>
          <w:iCs w:val="false"/>
          <w:color w:val="1a1a1a"/>
          <w:sz w:val="20"/>
          <w:szCs w:val="20"/>
        </w:rPr>
        <w:t xml:space="preserve">Merkel's most significant documented role in the vaccine story operates at two levels: as Von der Leyen's long-term political patron, and as the EU leader who actively blocked the TRIPS intellectual property waiver throughout 2021.</w:t>
      </w:r>
    </w:p>
    <w:p>
      <w:pPr>
        <w:spacing w:after="60" w:before="60" w:line="288"/>
        <w:jc w:val="both"/>
      </w:pPr>
      <w:r>
        <w:rPr>
          <w:rFonts w:ascii="Arial" w:cs="Arial" w:eastAsia="Arial" w:hAnsi="Arial"/>
          <w:b w:val="false"/>
          <w:bCs w:val="false"/>
          <w:i w:val="false"/>
          <w:iCs w:val="false"/>
          <w:color w:val="1a1a1a"/>
          <w:sz w:val="20"/>
          <w:szCs w:val="20"/>
        </w:rPr>
        <w:t xml:space="preserve">The Merkel–Von der Leyen relationship is the deepest structural link in the network. Merkel appointed Von der Leyen to four successive cabinet posts over 14 years. Von der Leyen was the only minister to serve continuously throughout all four Merkel governments. When Von der Leyen's Defence Ministry tenure became mired in procurement scandals and doctoral plagiarism, Merkel kept her in government. She is described in multiple sources as Merkel's 'loyal confidante' and was long considered a likely successor.</w:t>
      </w:r>
    </w:p>
    <w:p>
      <w:pPr>
        <w:spacing w:after="60" w:before="60" w:line="288"/>
        <w:jc w:val="both"/>
      </w:pPr>
      <w:r>
        <w:rPr>
          <w:rFonts w:ascii="Arial" w:cs="Arial" w:eastAsia="Arial" w:hAnsi="Arial"/>
          <w:b w:val="false"/>
          <w:bCs w:val="false"/>
          <w:i w:val="false"/>
          <w:iCs w:val="false"/>
          <w:color w:val="1a1a1a"/>
          <w:sz w:val="20"/>
          <w:szCs w:val="20"/>
        </w:rPr>
        <w:t xml:space="preserve">When Macron proposed Von der Leyen at the 2019 European Council, she was described as 'an option Merkel could not refuse — she came from Merkel's own country, Merkel's own party, and was a personal confidante.' Merkel abstained in the Parliament vote under coalition pressure, but Von der Leyen was confirmed by nine votes.</w:t>
      </w:r>
    </w:p>
    <w:p>
      <w:pPr>
        <w:spacing w:after="60" w:before="60" w:line="288"/>
        <w:jc w:val="both"/>
      </w:pPr>
      <w:r>
        <w:rPr>
          <w:rFonts w:ascii="Arial" w:cs="Arial" w:eastAsia="Arial" w:hAnsi="Arial"/>
          <w:b w:val="false"/>
          <w:bCs w:val="false"/>
          <w:i w:val="false"/>
          <w:iCs w:val="false"/>
          <w:color w:val="1a1a1a"/>
          <w:sz w:val="20"/>
          <w:szCs w:val="20"/>
        </w:rPr>
        <w:t xml:space="preserve">On TRIPS: Merkel and the European Commission opposed the waiver throughout 2021. The contracts grant Pfizer and Moderna sole ownership of all IP rights generated during development — IP substantially funded by public advance payments. Merkel's TRIPS waiver opposition and the contractual IP provisions were two sides of the same policy.</w:t>
      </w:r>
    </w:p>
    <w:p>
      <w:pPr>
        <w:spacing w:after="100" w:before="40"/>
        <w:ind w:left="360"/>
      </w:pPr>
      <w:hyperlink w:history="1" r:id="rIdal5vq_scb86lbusnanhie">
        <w:r>
          <w:rPr>
            <w:rFonts w:ascii="Arial" w:cs="Arial" w:eastAsia="Arial" w:hAnsi="Arial"/>
            <w:color w:val="1155CC"/>
            <w:sz w:val="18"/>
            <w:szCs w:val="18"/>
            <w:u w:val="single"/>
          </w:rPr>
          <w:t xml:space="preserve">Human Rights Watch, 14 June 2021</w:t>
        </w:r>
      </w:hyperlink>
      <w:r>
        <w:rPr>
          <w:rFonts w:ascii="Arial" w:cs="Arial" w:eastAsia="Arial" w:hAnsi="Arial"/>
          <w:b w:val="false"/>
          <w:bCs w:val="false"/>
          <w:i/>
          <w:iCs/>
          <w:color w:val="555555"/>
          <w:sz w:val="17"/>
          <w:szCs w:val="17"/>
        </w:rPr>
        <w:t xml:space="preserve">; </w:t>
      </w:r>
      <w:hyperlink w:history="1" r:id="rIdsd8elxdq5ygocsrujelug">
        <w:r>
          <w:rPr>
            <w:rFonts w:ascii="Arial" w:cs="Arial" w:eastAsia="Arial" w:hAnsi="Arial"/>
            <w:color w:val="1155CC"/>
            <w:sz w:val="18"/>
            <w:szCs w:val="18"/>
            <w:u w:val="single"/>
          </w:rPr>
          <w:t xml:space="preserve">France 24, 1 December 2019</w:t>
        </w:r>
      </w:hyperlink>
      <w:r>
        <w:rPr>
          <w:rFonts w:ascii="Arial" w:cs="Arial" w:eastAsia="Arial" w:hAnsi="Arial"/>
          <w:b w:val="false"/>
          <w:bCs w:val="false"/>
          <w:i/>
          <w:iCs/>
          <w:color w:val="555555"/>
          <w:sz w:val="17"/>
          <w:szCs w:val="17"/>
        </w:rPr>
        <w:t xml:space="preserve">; </w:t>
      </w:r>
      <w:hyperlink w:history="1" r:id="rIdpevxakjidxbxz6boqe3v9">
        <w:r>
          <w:rPr>
            <w:rFonts w:ascii="Arial" w:cs="Arial" w:eastAsia="Arial" w:hAnsi="Arial"/>
            <w:color w:val="1155CC"/>
            <w:sz w:val="18"/>
            <w:szCs w:val="18"/>
            <w:u w:val="single"/>
          </w:rPr>
          <w:t xml:space="preserve">Foreign Policy, 30 April 2021</w:t>
        </w:r>
      </w:hyperlink>
      <w:r>
        <w:rPr>
          <w:rFonts w:ascii="Arial" w:cs="Arial" w:eastAsia="Arial" w:hAnsi="Arial"/>
          <w:b w:val="false"/>
          <w:bCs w:val="false"/>
          <w:i/>
          <w:iCs/>
          <w:color w:val="555555"/>
          <w:sz w:val="17"/>
          <w:szCs w:val="17"/>
        </w:rPr>
        <w:t xml:space="preserve">; Wikipedia — Ursula von der Leyen; CDU Geschichte biography; ResearchGate — "Against All Odds" (November 2021)</w:t>
      </w:r>
    </w:p>
    <w:p>
      <w:pPr>
        <w:pStyle w:val="Heading2"/>
        <w:spacing w:after="80" w:before="200"/>
      </w:pPr>
      <w:r>
        <w:rPr>
          <w:rFonts w:ascii="Arial" w:cs="Arial" w:eastAsia="Arial" w:hAnsi="Arial"/>
          <w:b/>
          <w:bCs/>
          <w:color w:val="1a1a2e"/>
          <w:sz w:val="22"/>
          <w:szCs w:val="22"/>
        </w:rPr>
        <w:t xml:space="preserve">2.6 Corporate Signatories</w:t>
      </w:r>
    </w:p>
    <w:p>
      <w:pPr>
        <w:spacing w:after="60" w:before="60" w:line="288"/>
        <w:jc w:val="both"/>
      </w:pPr>
      <w:r>
        <w:rPr>
          <w:rFonts w:ascii="Arial" w:cs="Arial" w:eastAsia="Arial" w:hAnsi="Arial"/>
          <w:b w:val="false"/>
          <w:bCs w:val="false"/>
          <w:i w:val="false"/>
          <w:iCs w:val="false"/>
          <w:color w:val="1a1a1a"/>
          <w:sz w:val="20"/>
          <w:szCs w:val="20"/>
        </w:rPr>
        <w:t xml:space="preserve">Nanette Cocero, Global President of Vaccines at Pfizer, signed the Pfizer APA. Stéphane Bancel, Managing Director of Moderna Switzerland GmbH, signed the Moderna APA. Both are legally accountable for the contractual representations made by their companies. No investigation of either has been announced.</w:t>
      </w:r>
    </w:p>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3. Accountability Table</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2200"/>
        <w:gridCol w:w="2200"/>
        <w:gridCol w:w="3880"/>
        <w:gridCol w:w="1800"/>
      </w:tblGrid>
      <w:tr>
        <w:trPr>
          <w:tblHeader/>
        </w:trPr>
        <w:tc>
          <w:tcPr>
            <w:tcW w:type="dxa" w:w="22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Person</w:t>
            </w:r>
          </w:p>
        </w:tc>
        <w:tc>
          <w:tcPr>
            <w:tcW w:type="dxa" w:w="22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Role</w:t>
            </w:r>
          </w:p>
        </w:tc>
        <w:tc>
          <w:tcPr>
            <w:tcW w:type="dxa" w:w="388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Key Action</w:t>
            </w:r>
          </w:p>
        </w:tc>
        <w:tc>
          <w:tcPr>
            <w:tcW w:type="dxa" w:w="18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Status</w:t>
            </w:r>
          </w:p>
        </w:tc>
      </w:tr>
      <w:tr>
        <w:trPr>
          <w:tblHeader w:val="false"/>
        </w:trPr>
        <w:tc>
          <w:tcPr>
            <w:tcW w:type="dxa" w:w="2200"/>
            <w:tcBorders>
              <w:top w:val="single" w:color="CCCCCC" w:sz="1"/>
              <w:left w:val="single" w:color="CCCCCC" w:sz="1"/>
              <w:bottom w:val="single" w:color="CCCCCC" w:sz="1"/>
              <w:right w:val="single" w:color="CCCCCC" w:sz="1"/>
            </w:tcBorders>
            <w:shd w:fill="fff8f8"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Ursula von der Leyen</w:t>
            </w:r>
          </w:p>
        </w:tc>
        <w:tc>
          <w:tcPr>
            <w:tcW w:type="dxa" w:w="2200"/>
            <w:tcBorders>
              <w:top w:val="single" w:color="CCCCCC" w:sz="1"/>
              <w:left w:val="single" w:color="CCCCCC" w:sz="1"/>
              <w:bottom w:val="single" w:color="CCCCCC" w:sz="1"/>
              <w:right w:val="single" w:color="CCCCCC" w:sz="1"/>
            </w:tcBorders>
            <w:shd w:fill="fff8f8"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EU Commission President</w:t>
            </w:r>
          </w:p>
        </w:tc>
        <w:tc>
          <w:tcPr>
            <w:tcW w:type="dxa" w:w="3880"/>
            <w:tcBorders>
              <w:top w:val="single" w:color="CCCCCC" w:sz="1"/>
              <w:left w:val="single" w:color="CCCCCC" w:sz="1"/>
              <w:bottom w:val="single" w:color="CCCCCC" w:sz="1"/>
              <w:right w:val="single" w:color="CCCCCC" w:sz="1"/>
            </w:tcBorders>
            <w:shd w:fill="fff8f8"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Personally negotiated Pfizer deal by private SMS; texts deleted/lost; husband appointed pharma executive same month as procurement finalised</w:t>
            </w:r>
          </w:p>
        </w:tc>
        <w:tc>
          <w:tcPr>
            <w:tcW w:type="dxa" w:w="1800"/>
            <w:tcBorders>
              <w:top w:val="single" w:color="CCCCCC" w:sz="1"/>
              <w:left w:val="single" w:color="CCCCCC" w:sz="1"/>
              <w:bottom w:val="single" w:color="CCCCCC" w:sz="1"/>
              <w:right w:val="single" w:color="CCCCCC" w:sz="1"/>
            </w:tcBorders>
            <w:shd w:fill="fff8f8" w:val="clear"/>
            <w:tcMar>
              <w:top w:type="dxa" w:w="100"/>
              <w:left w:type="dxa" w:w="150"/>
              <w:bottom w:type="dxa" w:w="100"/>
              <w:right w:type="dxa" w:w="150"/>
            </w:tcMar>
            <w:vAlign w:val="top"/>
          </w:tcPr>
          <w:p>
            <w:pPr>
              <w:spacing w:after="60" w:before="60"/>
            </w:pPr>
            <w:r>
              <w:rPr>
                <w:rFonts w:ascii="Arial" w:cs="Arial" w:eastAsia="Arial" w:hAnsi="Arial"/>
                <w:b/>
                <w:bCs/>
                <w:color w:val="CC0000"/>
                <w:sz w:val="18"/>
                <w:szCs w:val="18"/>
              </w:rPr>
              <w:t xml:space="preserve">Under EPPO criminal investigation</w:t>
            </w:r>
          </w:p>
        </w:tc>
      </w:tr>
      <w:tr>
        <w:trPr>
          <w:tblHeader w:val="false"/>
        </w:trPr>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Albert Bourla</w:t>
            </w:r>
          </w:p>
        </w:tc>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Pfizer CEO</w:t>
            </w:r>
          </w:p>
        </w:tc>
        <w:tc>
          <w:tcPr>
            <w:tcW w:type="dxa" w:w="38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Negotiated by SMS with VdL; refused to testify to Parliament twice; jointly awarded Atlantic Council prize with VdL while under investigation</w:t>
            </w:r>
          </w:p>
        </w:tc>
        <w:tc>
          <w:tcPr>
            <w:tcW w:type="dxa" w:w="1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Stella Kyriakides</w:t>
            </w:r>
          </w:p>
        </w:tc>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EU Health Commissioner</w:t>
            </w:r>
          </w:p>
        </w:tc>
        <w:tc>
          <w:tcPr>
            <w:tcW w:type="dxa" w:w="38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Formal signatory of both contracts; denied VdL involvement — directly contradicted by VdL's own NYT admission</w:t>
            </w:r>
          </w:p>
        </w:tc>
        <w:tc>
          <w:tcPr>
            <w:tcW w:type="dxa" w:w="1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Emmanuel Macron</w:t>
            </w:r>
          </w:p>
        </w:tc>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President of France</w:t>
            </w:r>
          </w:p>
        </w:tc>
        <w:tc>
          <w:tcPr>
            <w:tcW w:type="dxa" w:w="38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Installed VdL as Commission President; pushed aggressive vaccine access restrictions; former Rothschild banker; first major deal was for Pfizer</w:t>
            </w:r>
          </w:p>
        </w:tc>
        <w:tc>
          <w:tcPr>
            <w:tcW w:type="dxa" w:w="1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Angela Merkel</w:t>
            </w:r>
          </w:p>
        </w:tc>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German Chancellor 2005–2021</w:t>
            </w:r>
          </w:p>
        </w:tc>
        <w:tc>
          <w:tcPr>
            <w:tcW w:type="dxa" w:w="38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Blocked TRIPS IP waiver protecting pharma monopolies; VdL's 14-year political patron; appointed VdL to four successive cabinet posts</w:t>
            </w:r>
          </w:p>
        </w:tc>
        <w:tc>
          <w:tcPr>
            <w:tcW w:type="dxa" w:w="1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Nanette Cocero</w:t>
            </w:r>
          </w:p>
        </w:tc>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Pfizer Vaccines President</w:t>
            </w:r>
          </w:p>
        </w:tc>
        <w:tc>
          <w:tcPr>
            <w:tcW w:type="dxa" w:w="38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Signed Pfizer APA binding 27 Member States</w:t>
            </w:r>
          </w:p>
        </w:tc>
        <w:tc>
          <w:tcPr>
            <w:tcW w:type="dxa" w:w="1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Stéphane Bancel</w:t>
            </w:r>
          </w:p>
        </w:tc>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Moderna CEO</w:t>
            </w:r>
          </w:p>
        </w:tc>
        <w:tc>
          <w:tcPr>
            <w:tcW w:type="dxa" w:w="38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Signed Moderna APA binding 27 Member States</w:t>
            </w:r>
          </w:p>
        </w:tc>
        <w:tc>
          <w:tcPr>
            <w:tcW w:type="dxa" w:w="1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No investigation</w:t>
            </w:r>
          </w:p>
        </w:tc>
      </w:tr>
    </w:tbl>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4. The Network — Elite Circulation and Institutional Capture</w:t>
      </w:r>
    </w:p>
    <w:p>
      <w:pPr>
        <w:spacing w:after="60" w:before="60" w:line="288"/>
        <w:jc w:val="both"/>
      </w:pPr>
      <w:r>
        <w:rPr>
          <w:rFonts w:ascii="Arial" w:cs="Arial" w:eastAsia="Arial" w:hAnsi="Arial"/>
          <w:b w:val="false"/>
          <w:bCs w:val="false"/>
          <w:i w:val="false"/>
          <w:iCs w:val="false"/>
          <w:color w:val="1a1a1a"/>
          <w:sz w:val="20"/>
          <w:szCs w:val="20"/>
        </w:rPr>
        <w:t xml:space="preserve">The individuals listed above did not emerge independently. They form part of an interlocking network of relationships — educational, professional, and institutional — that shaped both who made the decisions and why those decisions followed the pattern they did. This section presents documented facts. No claim of conspiracy beyond the evidence is made.</w:t>
      </w:r>
    </w:p>
    <w:p>
      <w:pPr>
        <w:pStyle w:val="Heading2"/>
        <w:spacing w:after="80" w:before="200"/>
      </w:pPr>
      <w:r>
        <w:rPr>
          <w:rFonts w:ascii="Arial" w:cs="Arial" w:eastAsia="Arial" w:hAnsi="Arial"/>
          <w:b/>
          <w:bCs/>
          <w:color w:val="1a1a2e"/>
          <w:sz w:val="22"/>
          <w:szCs w:val="22"/>
        </w:rPr>
        <w:t xml:space="preserve">4.1 Shared Institutions</w:t>
      </w:r>
    </w:p>
    <w:p>
      <w:pPr>
        <w:spacing w:after="60" w:before="60" w:line="288"/>
        <w:jc w:val="both"/>
      </w:pPr>
      <w:r>
        <w:rPr>
          <w:rFonts w:ascii="Arial" w:cs="Arial" w:eastAsia="Arial" w:hAnsi="Arial"/>
          <w:b w:val="false"/>
          <w:bCs w:val="false"/>
          <w:i w:val="false"/>
          <w:iCs w:val="false"/>
          <w:color w:val="1a1a1a"/>
          <w:sz w:val="20"/>
          <w:szCs w:val="20"/>
        </w:rPr>
        <w:t xml:space="preserve">Von der Leyen attended the European School in Brussels — the institution created for the children of EU civil servants. Macron attended Sciences Po and the École Nationale d'Administration (ENA) — the French grand école that has produced virtually every senior French official and many European ones for decades. Both institutions function as pipelines for elite reproduction: the same schools, the same networks, the same careers.</w:t>
      </w:r>
    </w:p>
    <w:p>
      <w:pPr>
        <w:pStyle w:val="Heading2"/>
        <w:spacing w:after="80" w:before="200"/>
      </w:pPr>
      <w:r>
        <w:rPr>
          <w:rFonts w:ascii="Arial" w:cs="Arial" w:eastAsia="Arial" w:hAnsi="Arial"/>
          <w:b/>
          <w:bCs/>
          <w:color w:val="1a1a2e"/>
          <w:sz w:val="22"/>
          <w:szCs w:val="22"/>
        </w:rPr>
        <w:t xml:space="preserve">4.2 Macron — Rothschild — Pfizer: The Documented Chain</w:t>
      </w:r>
    </w:p>
    <w:p>
      <w:pPr>
        <w:spacing w:after="60" w:before="60" w:line="288"/>
        <w:jc w:val="both"/>
      </w:pPr>
      <w:r>
        <w:rPr>
          <w:rFonts w:ascii="Arial" w:cs="Arial" w:eastAsia="Arial" w:hAnsi="Arial"/>
          <w:b w:val="false"/>
          <w:bCs w:val="false"/>
          <w:i w:val="false"/>
          <w:iCs w:val="false"/>
          <w:color w:val="1a1a1a"/>
          <w:sz w:val="20"/>
          <w:szCs w:val="20"/>
        </w:rPr>
        <w:t xml:space="preserve">Each link in the following chain is individually documented and uncontested. The chain they form is a matter of factual record, not inference: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Macron worked at Rothschild &amp; Cie Banque (2008–2012), earning approximately €3 million, rising to Managing Director in two years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His first major deal was brokering Nestlé's $11.8 billion acquisition of Pfizer's baby food division — his first documented professional relationship with Pfizer</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Financial Times named him David de Rothschild's protégé in 2018; Rothschild described his presidential rise as 'the planets aligning'</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Macron installed Von der Leyen as Commission President in 2019</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negotiated the EU's €35 billion Pfizer vaccine contract by private text message in 2021</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Macron was among the most aggressive European leaders pushing vaccine access restrictions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Merkel — Von der Leyen's 14-year political patron — blocked the TRIPS waiver protecting Pfizer's IP monopoly throughout 2021</w:t>
      </w:r>
    </w:p>
    <w:p>
      <w:pPr>
        <w:pStyle w:val="Heading2"/>
        <w:spacing w:after="80" w:before="200"/>
      </w:pPr>
      <w:r>
        <w:rPr>
          <w:rFonts w:ascii="Arial" w:cs="Arial" w:eastAsia="Arial" w:hAnsi="Arial"/>
          <w:b/>
          <w:bCs/>
          <w:color w:val="1a1a2e"/>
          <w:sz w:val="22"/>
          <w:szCs w:val="22"/>
        </w:rPr>
        <w:t xml:space="preserve">4.3 Rothschild &amp; Co: Self-Published Evidence of Pfizer Proximity</w:t>
      </w:r>
    </w:p>
    <w:p>
      <w:pPr>
        <w:spacing w:after="60" w:before="60" w:line="288"/>
        <w:jc w:val="both"/>
      </w:pPr>
      <w:r>
        <w:rPr>
          <w:rFonts w:ascii="Arial" w:cs="Arial" w:eastAsia="Arial" w:hAnsi="Arial"/>
          <w:b w:val="false"/>
          <w:bCs w:val="false"/>
          <w:i w:val="false"/>
          <w:iCs w:val="false"/>
          <w:color w:val="1a1a1a"/>
          <w:sz w:val="20"/>
          <w:szCs w:val="20"/>
        </w:rPr>
        <w:t xml:space="preserve">Particularly significant is what Rothschild &amp; Co published on their own website. In April 2021 — during the peak of EU vaccine procurement — Rothschild &amp; Co Wealth Management published an investor interview with Pfizer's Investor Relations Officer Bryan Dunn, conducted by their own equity analyst and investment insights team.</w:t>
      </w:r>
    </w:p>
    <w:p>
      <w:pPr>
        <w:spacing w:after="60" w:before="60" w:line="288"/>
        <w:jc w:val="both"/>
      </w:pPr>
      <w:r>
        <w:rPr>
          <w:rFonts w:ascii="Arial" w:cs="Arial" w:eastAsia="Arial" w:hAnsi="Arial"/>
          <w:b w:val="false"/>
          <w:bCs w:val="false"/>
          <w:i w:val="false"/>
          <w:iCs w:val="false"/>
          <w:color w:val="1a1a1a"/>
          <w:sz w:val="20"/>
          <w:szCs w:val="20"/>
        </w:rPr>
        <w:t xml:space="preserve">This is not a journalist observing the connection from outside. It is Rothschild &amp; Co openly documenting their own investor relationship with Pfizer, published as routine wealth management content, on their own platform, during the period when the €35 billion EU contract was being executed.</w:t>
      </w:r>
    </w:p>
    <w:p>
      <w:pPr>
        <w:spacing w:after="60" w:before="60" w:line="288"/>
        <w:jc w:val="both"/>
      </w:pPr>
      <w:r>
        <w:rPr>
          <w:rFonts w:ascii="Arial" w:cs="Arial" w:eastAsia="Arial" w:hAnsi="Arial"/>
          <w:b w:val="false"/>
          <w:bCs w:val="false"/>
          <w:i w:val="false"/>
          <w:iCs w:val="false"/>
          <w:color w:val="1a1a1a"/>
          <w:sz w:val="20"/>
          <w:szCs w:val="20"/>
        </w:rPr>
        <w:t xml:space="preserve">The significance: the institution whose protégé installed the Commission President who negotiated the Pfizer contract by private text message was simultaneously publishing admiring investor interviews with that same company, presenting the relationship as entirely unremarkable. This is confidence, not concealment — the behaviour of a network that does not consider its position problematic, because the system that would hold it problematic is the same system it operates within.</w:t>
      </w:r>
    </w:p>
    <w:p>
      <w:pPr>
        <w:spacing w:after="100" w:before="40"/>
        <w:ind w:left="360"/>
      </w:pPr>
      <w:r>
        <w:rPr>
          <w:rFonts w:ascii="Arial" w:cs="Arial" w:eastAsia="Arial" w:hAnsi="Arial"/>
          <w:b w:val="false"/>
          <w:bCs w:val="false"/>
          <w:i/>
          <w:iCs/>
          <w:color w:val="555555"/>
          <w:sz w:val="17"/>
          <w:szCs w:val="17"/>
        </w:rPr>
        <w:t xml:space="preserve">Source: </w:t>
      </w:r>
      <w:hyperlink w:history="1" r:id="rId9bpkcrzvwdbuqaacmfwe3">
        <w:r>
          <w:rPr>
            <w:rFonts w:ascii="Arial" w:cs="Arial" w:eastAsia="Arial" w:hAnsi="Arial"/>
            <w:color w:val="1155CC"/>
            <w:sz w:val="18"/>
            <w:szCs w:val="18"/>
            <w:u w:val="single"/>
          </w:rPr>
          <w:t xml:space="preserve">Rothschild &amp; Co Wealth Management, "Investment Views — Vaccines and diagnostics: An interview with Pfizer," April 2021</w:t>
        </w:r>
      </w:hyperlink>
    </w:p>
    <w:p>
      <w:pPr>
        <w:pStyle w:val="Heading2"/>
        <w:spacing w:after="80" w:before="200"/>
      </w:pPr>
      <w:r>
        <w:rPr>
          <w:rFonts w:ascii="Arial" w:cs="Arial" w:eastAsia="Arial" w:hAnsi="Arial"/>
          <w:b/>
          <w:bCs/>
          <w:color w:val="1a1a2e"/>
          <w:sz w:val="22"/>
          <w:szCs w:val="22"/>
        </w:rPr>
        <w:t xml:space="preserve">4.4 The Atlantic Council Ceremony — 10 November 2021</w:t>
      </w:r>
    </w:p>
    <w:p>
      <w:pPr>
        <w:spacing w:after="60" w:before="60" w:line="288"/>
        <w:jc w:val="both"/>
      </w:pPr>
      <w:r>
        <w:rPr>
          <w:rFonts w:ascii="Arial" w:cs="Arial" w:eastAsia="Arial" w:hAnsi="Arial"/>
          <w:b w:val="false"/>
          <w:bCs w:val="false"/>
          <w:i w:val="false"/>
          <w:iCs w:val="false"/>
          <w:color w:val="1a1a1a"/>
          <w:sz w:val="20"/>
          <w:szCs w:val="20"/>
        </w:rPr>
        <w:t xml:space="preserve">On 10 November 2021, the Atlantic Council — a Washington-based think tank funded by major defence contractors, banks, and corporations — held its annual Distinguished Leadership Awards in Washington DC:</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Ursula von der Leyen received the Distinguished International Leadership Award</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Albert Bourla received the Distinguished Business Leadership Award</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personally presented Bourla's award, praising him as 'dear Albert,' crediting him with saving 'millions of lives,' and saying 'we trusted each other'</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Bourla said he was 'speechless' by 'Ursula's kind words' and had 'almost cried'</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EU Commission had by this point signed three contracts with Pfizer worth approximately €35 billion</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EPPO investigation into vaccine procurement was ongoing at this time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text messages between Von der Leyen and Bourla had not yet been demanded by the New York Times — that came in May 2022</w:t>
      </w:r>
    </w:p>
    <w:p>
      <w:pPr>
        <w:spacing w:after="100" w:before="40"/>
        <w:ind w:left="360"/>
      </w:pPr>
      <w:hyperlink w:history="1" r:id="rIdq7_qvlzbstzxsdigklrzp">
        <w:r>
          <w:rPr>
            <w:rFonts w:ascii="Arial" w:cs="Arial" w:eastAsia="Arial" w:hAnsi="Arial"/>
            <w:color w:val="1155CC"/>
            <w:sz w:val="18"/>
            <w:szCs w:val="18"/>
            <w:u w:val="single"/>
          </w:rPr>
          <w:t xml:space="preserve">Source: WorldNews, 17 November 2021 ("Ursula von der Leyen honored by Atlantic Council — together with Pfizer")</w:t>
        </w:r>
      </w:hyperlink>
    </w:p>
    <w:p>
      <w:pPr>
        <w:pStyle w:val="Heading2"/>
        <w:spacing w:after="80" w:before="200"/>
      </w:pPr>
      <w:r>
        <w:rPr>
          <w:rFonts w:ascii="Arial" w:cs="Arial" w:eastAsia="Arial" w:hAnsi="Arial"/>
          <w:b/>
          <w:bCs/>
          <w:color w:val="1a1a2e"/>
          <w:sz w:val="22"/>
          <w:szCs w:val="22"/>
        </w:rPr>
        <w:t xml:space="preserve">4.5 The Merkel–Von der Leyen Relationship: Full Documentation</w:t>
      </w:r>
    </w:p>
    <w:p>
      <w:pPr>
        <w:spacing w:after="60" w:before="60" w:line="288"/>
        <w:jc w:val="both"/>
      </w:pPr>
      <w:r>
        <w:rPr>
          <w:rFonts w:ascii="Arial" w:cs="Arial" w:eastAsia="Arial" w:hAnsi="Arial"/>
          <w:b w:val="false"/>
          <w:bCs w:val="false"/>
          <w:i w:val="false"/>
          <w:iCs w:val="false"/>
          <w:color w:val="1a1a1a"/>
          <w:sz w:val="20"/>
          <w:szCs w:val="20"/>
        </w:rPr>
        <w:t xml:space="preserve">The relationship between Merkel and Von der Leyen is the longest and most structurally significant in this network. Key documented facts: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was the only minister to serve continuously in Merkel's cabinet from 2005 to 2019 — through all four governments and every cabinet reshuffle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In 2003, Von der Leyen was recruited by Merkel to draft alternative social welfare reform proposals when Merkel was still CDU opposition leader — the beginning of their political collaboration</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helped Merkel move the CDU into the political centre-ground — she was Merkel's ideological instrument for modernising the party</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When Bishop Mixa publicly attacked Von der Leyen's childcare policies, Merkel personally leapt to her defence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Her 2018 reappointment as Defence Minister despite ongoing scandals was interpreted by the Tagesspiegel as explicit evidence of 'the chancellor's confidence' — 'she was the only one considered tough enough'</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She is described across multiple sources as Merkel's 'loyal confidante' and was long considered Merkel's most likely successor</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When the 2019 European Council deadlocked, Von der Leyen was described as 'an option Merkel could not refuse' — same country, same party, personal confidante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Merkel abstained in the Parliament vote — coalition politics — but Von der Leyen was confirmed by nine votes</w:t>
      </w:r>
    </w:p>
    <w:p>
      <w:pPr>
        <w:spacing w:after="60" w:before="60" w:line="288"/>
        <w:jc w:val="both"/>
      </w:pPr>
      <w:r>
        <w:rPr>
          <w:rFonts w:ascii="Arial" w:cs="Arial" w:eastAsia="Arial" w:hAnsi="Arial"/>
          <w:b w:val="false"/>
          <w:bCs w:val="false"/>
          <w:i w:val="false"/>
          <w:iCs w:val="false"/>
          <w:color w:val="1a1a1a"/>
          <w:sz w:val="20"/>
          <w:szCs w:val="20"/>
        </w:rPr>
        <w:t xml:space="preserve">The rescue dynamic: when Von der Leyen's Defence Ministry career stalled under procurement scandals and doctoral plagiarism investigation, Merkel did not remove her. She was kept in cabinet until Macron's manoeuvre elevated her to Brussels — effectively removing her from German domestic accountability entirely.</w:t>
      </w:r>
    </w:p>
    <w:p>
      <w:pPr>
        <w:spacing w:after="100" w:before="40"/>
        <w:ind w:left="360"/>
      </w:pPr>
      <w:hyperlink w:history="1" r:id="rIdkpaiusplneq4cwg4qurjp">
        <w:r>
          <w:rPr>
            <w:rFonts w:ascii="Arial" w:cs="Arial" w:eastAsia="Arial" w:hAnsi="Arial"/>
            <w:color w:val="1155CC"/>
            <w:sz w:val="18"/>
            <w:szCs w:val="18"/>
            <w:u w:val="single"/>
          </w:rPr>
          <w:t xml:space="preserve">France 24, 1 December 2019</w:t>
        </w:r>
      </w:hyperlink>
      <w:r>
        <w:rPr>
          <w:rFonts w:ascii="Arial" w:cs="Arial" w:eastAsia="Arial" w:hAnsi="Arial"/>
          <w:b w:val="false"/>
          <w:bCs w:val="false"/>
          <w:i/>
          <w:iCs/>
          <w:color w:val="555555"/>
          <w:sz w:val="17"/>
          <w:szCs w:val="17"/>
        </w:rPr>
        <w:t xml:space="preserve">; </w:t>
      </w:r>
      <w:hyperlink w:history="1" r:id="rIdxu8uxhg9b9cnmjx7npmo9">
        <w:r>
          <w:rPr>
            <w:rFonts w:ascii="Arial" w:cs="Arial" w:eastAsia="Arial" w:hAnsi="Arial"/>
            <w:color w:val="1155CC"/>
            <w:sz w:val="18"/>
            <w:szCs w:val="18"/>
            <w:u w:val="single"/>
          </w:rPr>
          <w:t xml:space="preserve">Foreign Policy, 30 April 2021</w:t>
        </w:r>
      </w:hyperlink>
      <w:r>
        <w:rPr>
          <w:rFonts w:ascii="Arial" w:cs="Arial" w:eastAsia="Arial" w:hAnsi="Arial"/>
          <w:b w:val="false"/>
          <w:bCs w:val="false"/>
          <w:i/>
          <w:iCs/>
          <w:color w:val="555555"/>
          <w:sz w:val="17"/>
          <w:szCs w:val="17"/>
        </w:rPr>
        <w:t xml:space="preserve">; Wikipedia — Ursula von der Leyen; </w:t>
      </w:r>
      <w:hyperlink w:history="1" r:id="rIdlyvhinebbm-jq5d7o0wcx">
        <w:r>
          <w:rPr>
            <w:rFonts w:ascii="Arial" w:cs="Arial" w:eastAsia="Arial" w:hAnsi="Arial"/>
            <w:color w:val="1155CC"/>
            <w:sz w:val="18"/>
            <w:szCs w:val="18"/>
            <w:u w:val="single"/>
          </w:rPr>
          <w:t xml:space="preserve">CDU Geschichte biography</w:t>
        </w:r>
      </w:hyperlink>
      <w:r>
        <w:rPr>
          <w:rFonts w:ascii="Arial" w:cs="Arial" w:eastAsia="Arial" w:hAnsi="Arial"/>
          <w:b w:val="false"/>
          <w:bCs w:val="false"/>
          <w:i/>
          <w:iCs/>
          <w:color w:val="555555"/>
          <w:sz w:val="17"/>
          <w:szCs w:val="17"/>
        </w:rPr>
        <w:t xml:space="preserve">; Tagesspiegel, 10 March 2018</w:t>
      </w:r>
    </w:p>
    <w:p>
      <w:pPr>
        <w:pStyle w:val="Heading2"/>
        <w:spacing w:after="80" w:before="200"/>
      </w:pPr>
      <w:r>
        <w:rPr>
          <w:rFonts w:ascii="Arial" w:cs="Arial" w:eastAsia="Arial" w:hAnsi="Arial"/>
          <w:b/>
          <w:bCs/>
          <w:color w:val="1a1a2e"/>
          <w:sz w:val="22"/>
          <w:szCs w:val="22"/>
        </w:rPr>
        <w:t xml:space="preserve">4.6 The Von der Leyen Family Dimension</w:t>
      </w:r>
    </w:p>
    <w:p>
      <w:pPr>
        <w:spacing w:after="60" w:before="60" w:line="288"/>
        <w:jc w:val="both"/>
      </w:pPr>
      <w:r>
        <w:rPr>
          <w:rFonts w:ascii="Arial" w:cs="Arial" w:eastAsia="Arial" w:hAnsi="Arial"/>
          <w:b w:val="false"/>
          <w:bCs w:val="false"/>
          <w:i w:val="false"/>
          <w:iCs w:val="false"/>
          <w:color w:val="1a1a1a"/>
          <w:sz w:val="20"/>
          <w:szCs w:val="20"/>
        </w:rPr>
        <w:t xml:space="preserve">Von der Leyen's husband Heiko became Medical Director of Orgenesis — an American biopharmaceutical company active in COVID-19 vaccine development — in September 2020, the same month EU vaccine procurement strategy was being finalised. Orgenesis subsequently received EU funding. Von der Leyen did not publicly disclose this in relation to her procurement role. MEPs who raised the issue received no substantive response.</w:t>
      </w:r>
    </w:p>
    <w:p>
      <w:pPr>
        <w:spacing w:after="60" w:before="60" w:line="288"/>
        <w:jc w:val="both"/>
      </w:pPr>
      <w:r>
        <w:rPr>
          <w:rFonts w:ascii="Arial" w:cs="Arial" w:eastAsia="Arial" w:hAnsi="Arial"/>
          <w:b w:val="false"/>
          <w:bCs w:val="false"/>
          <w:i w:val="false"/>
          <w:iCs w:val="false"/>
          <w:color w:val="1a1a1a"/>
          <w:sz w:val="20"/>
          <w:szCs w:val="20"/>
        </w:rPr>
        <w:t xml:space="preserve">Separately, her previous Defence Ministry tenure featured documented procurement scandals involving consultancy contracts. The pattern of awarding major contracts through informal channels while destroying or losing the documentary record predates her Commission role.</w:t>
      </w:r>
    </w:p>
    <w:p>
      <w:pPr>
        <w:pStyle w:val="Heading2"/>
        <w:spacing w:after="80" w:before="200"/>
      </w:pPr>
      <w:r>
        <w:rPr>
          <w:rFonts w:ascii="Arial" w:cs="Arial" w:eastAsia="Arial" w:hAnsi="Arial"/>
          <w:b/>
          <w:bCs/>
          <w:color w:val="1a1a2e"/>
          <w:sz w:val="22"/>
          <w:szCs w:val="22"/>
        </w:rPr>
        <w:t xml:space="preserve">4.7 The Dual-Axis Network Structure</w:t>
      </w:r>
    </w:p>
    <w:p>
      <w:pPr>
        <w:spacing w:after="60" w:before="60" w:line="288"/>
        <w:jc w:val="both"/>
      </w:pPr>
      <w:r>
        <w:rPr>
          <w:rFonts w:ascii="Arial" w:cs="Arial" w:eastAsia="Arial" w:hAnsi="Arial"/>
          <w:b w:val="false"/>
          <w:bCs w:val="false"/>
          <w:i w:val="false"/>
          <w:iCs w:val="false"/>
          <w:color w:val="1a1a1a"/>
          <w:sz w:val="20"/>
          <w:szCs w:val="20"/>
        </w:rPr>
        <w:t xml:space="preserve">The documented network has two axes that converge on Von der Leyen:</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Axis 1 — Rothschild/Macron: Rothschild &amp; Cie → Macron (protégé, Pfizer deal 2012) → Macron installs Von der Leyen (2019) → Von der Leyen negotiates €35bn Pfizer contract (2021). Simultaneously: Rothschild &amp; Co publishes investor interview with Pfizer (April 2021).</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Axis 2 — Merkel: Merkel builds Von der Leyen across four cabinet appointments (2005–2019) → Merkel's blessing enables Von der Leyen's EU elevation → Merkel blocks TRIPS waiver protecting Pfizer IP (2021).</w:t>
      </w:r>
    </w:p>
    <w:p>
      <w:pPr>
        <w:spacing w:after="60" w:before="60" w:line="288"/>
        <w:jc w:val="both"/>
      </w:pPr>
      <w:r>
        <w:rPr>
          <w:rFonts w:ascii="Arial" w:cs="Arial" w:eastAsia="Arial" w:hAnsi="Arial"/>
          <w:b w:val="false"/>
          <w:bCs w:val="false"/>
          <w:i w:val="false"/>
          <w:iCs w:val="false"/>
          <w:color w:val="1a1a1a"/>
          <w:sz w:val="20"/>
          <w:szCs w:val="20"/>
        </w:rPr>
        <w:t xml:space="preserve">Von der Leyen is the hinge point. Macron provided the upward trajectory; Merkel provided the foundation and the policy cover. Both axes converge on the same corporate beneficiary: Pfizer, which received €35 billion in EU contracts negotiated off the record, with liability transferred to citizens, IP protected by a G7 veto, and the evidence of how it was arranged subsequently destroyed.</w:t>
      </w:r>
    </w:p>
    <w:p>
      <w:pPr>
        <w:pStyle w:val="Heading2"/>
        <w:spacing w:after="80" w:before="200"/>
      </w:pPr>
      <w:r>
        <w:rPr>
          <w:rFonts w:ascii="Arial" w:cs="Arial" w:eastAsia="Arial" w:hAnsi="Arial"/>
          <w:b/>
          <w:bCs/>
          <w:color w:val="1a1a2e"/>
          <w:sz w:val="22"/>
          <w:szCs w:val="22"/>
        </w:rPr>
        <w:t xml:space="preserve">4.8 What This Network Means</w:t>
      </w:r>
    </w:p>
    <w:p>
      <w:pPr>
        <w:spacing w:after="60" w:before="60" w:line="288"/>
        <w:jc w:val="both"/>
      </w:pPr>
      <w:r>
        <w:rPr>
          <w:rFonts w:ascii="Arial" w:cs="Arial" w:eastAsia="Arial" w:hAnsi="Arial"/>
          <w:b w:val="false"/>
          <w:bCs w:val="false"/>
          <w:i w:val="false"/>
          <w:iCs w:val="false"/>
          <w:color w:val="1a1a1a"/>
          <w:sz w:val="20"/>
          <w:szCs w:val="20"/>
        </w:rPr>
        <w:t xml:space="preserve">The documented facts describe a self-reinforcing elite network in which the same individuals move between finance, government, and supranational institutions; are appointed by each other; award each other prizes; regulate industries from which they came and to which they will return; and communicate through channels designed to leave no record.</w:t>
      </w:r>
    </w:p>
    <w:p>
      <w:pPr>
        <w:spacing w:after="60" w:before="60" w:line="288"/>
        <w:jc w:val="both"/>
      </w:pPr>
      <w:r>
        <w:rPr>
          <w:rFonts w:ascii="Arial" w:cs="Arial" w:eastAsia="Arial" w:hAnsi="Arial"/>
          <w:b w:val="false"/>
          <w:bCs w:val="false"/>
          <w:i w:val="false"/>
          <w:iCs w:val="false"/>
          <w:color w:val="1a1a1a"/>
          <w:sz w:val="20"/>
          <w:szCs w:val="20"/>
        </w:rPr>
        <w:t xml:space="preserve">Whether this constitutes corruption in the legal sense is a matter for the EPPO investigation. What it constitutes in the democratic sense is a systematic failure of the boundary between public interest and private benefit — with 450 million citizens bearing the consequences.</w:t>
      </w:r>
    </w:p>
    <w:p>
      <w:pPr>
        <w:spacing w:after="60" w:before="60" w:line="288"/>
        <w:jc w:val="both"/>
      </w:pPr>
      <w:r>
        <w:rPr>
          <w:rFonts w:ascii="Arial" w:cs="Arial" w:eastAsia="Arial" w:hAnsi="Arial"/>
          <w:b w:val="false"/>
          <w:bCs w:val="false"/>
          <w:i w:val="false"/>
          <w:iCs w:val="false"/>
          <w:color w:val="1a1a1a"/>
          <w:sz w:val="20"/>
          <w:szCs w:val="20"/>
        </w:rPr>
        <w:t xml:space="preserve">Critically: this analysis does not require the attribution of secret coordination. The network produces aligned outcomes through structural proximity, shared interests, and institutional trust — without requiring any individual to receive instructions. That is precisely what makes it robust and difficult to prosecute.</w:t>
      </w:r>
    </w:p>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5. The Contracts — What Was Hidden and Why</w:t>
      </w:r>
    </w:p>
    <w:p>
      <w:pPr>
        <w:pStyle w:val="Heading2"/>
        <w:spacing w:after="80" w:before="200"/>
      </w:pPr>
      <w:r>
        <w:rPr>
          <w:rFonts w:ascii="Arial" w:cs="Arial" w:eastAsia="Arial" w:hAnsi="Arial"/>
          <w:b/>
          <w:bCs/>
          <w:color w:val="1a1a2e"/>
          <w:sz w:val="22"/>
          <w:szCs w:val="22"/>
        </w:rPr>
        <w:t xml:space="preserve">5.1 Structure</w:t>
      </w:r>
    </w:p>
    <w:p>
      <w:pPr>
        <w:spacing w:after="60" w:before="60" w:line="288"/>
        <w:jc w:val="both"/>
      </w:pPr>
      <w:r>
        <w:rPr>
          <w:rFonts w:ascii="Arial" w:cs="Arial" w:eastAsia="Arial" w:hAnsi="Arial"/>
          <w:b w:val="false"/>
          <w:bCs w:val="false"/>
          <w:i w:val="false"/>
          <w:iCs w:val="false"/>
          <w:color w:val="1a1a1a"/>
          <w:sz w:val="20"/>
          <w:szCs w:val="20"/>
        </w:rPr>
        <w:t xml:space="preserve">The European Commission, acting under Emergency Support Instrument (EU) 2016/369 as amended by Council Regulation (EU) 2020/521, concluded Advance Purchase Agreements (APAs) on behalf of all participating Member States. The formal signatory was Commissioner Stella Kyriakides. The actual negotiator, by her own admission to the New York Times, was Von der Leyen.</w:t>
      </w:r>
    </w:p>
    <w:p>
      <w:pPr>
        <w:spacing w:after="60" w:before="60" w:line="288"/>
        <w:jc w:val="both"/>
      </w:pPr>
      <w:r>
        <w:rPr>
          <w:rFonts w:ascii="Arial" w:cs="Arial" w:eastAsia="Arial" w:hAnsi="Arial"/>
          <w:b w:val="false"/>
          <w:bCs w:val="false"/>
          <w:i w:val="false"/>
          <w:iCs w:val="false"/>
          <w:color w:val="1a1a1a"/>
          <w:sz w:val="20"/>
          <w:szCs w:val="20"/>
        </w:rPr>
        <w:t xml:space="preserve">Under Article 7 of the framework agreement, participating Member States agreed not to negotiate separately with the same manufacturers — locking them into whatever terms the Commission had agreed.</w:t>
      </w:r>
    </w:p>
    <w:p>
      <w:pPr>
        <w:pStyle w:val="Heading2"/>
        <w:spacing w:after="80" w:before="200"/>
      </w:pPr>
      <w:r>
        <w:rPr>
          <w:rFonts w:ascii="Arial" w:cs="Arial" w:eastAsia="Arial" w:hAnsi="Arial"/>
          <w:b/>
          <w:bCs/>
          <w:color w:val="1a1a2e"/>
          <w:sz w:val="22"/>
          <w:szCs w:val="22"/>
        </w:rPr>
        <w:t xml:space="preserve">5.2 What Was Redacted — and Why It Matters</w:t>
      </w:r>
    </w:p>
    <w:p>
      <w:pPr>
        <w:spacing w:after="60" w:before="60" w:line="288"/>
        <w:jc w:val="both"/>
      </w:pPr>
      <w:r>
        <w:rPr>
          <w:rFonts w:ascii="Arial" w:cs="Arial" w:eastAsia="Arial" w:hAnsi="Arial"/>
          <w:b w:val="false"/>
          <w:bCs w:val="false"/>
          <w:i w:val="false"/>
          <w:iCs w:val="false"/>
          <w:color w:val="1a1a1a"/>
          <w:sz w:val="20"/>
          <w:szCs w:val="20"/>
        </w:rPr>
        <w:t xml:space="preserve">The redactions were not random and not primarily about trade secrets. They followed a precise logic: everything that would have caused public outrage was hidden; everything that provided political legitimacy was left visible.</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210"/>
        <w:gridCol w:w="3629"/>
        <w:gridCol w:w="5242"/>
      </w:tblGrid>
      <w:tr>
        <w:trPr>
          <w:tblHeader/>
        </w:trPr>
        <w:tc>
          <w:tcPr>
            <w:tcW w:type="dxa" w:w="121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ARTICLE</w:t>
            </w:r>
          </w:p>
        </w:tc>
        <w:tc>
          <w:tcPr>
            <w:tcW w:type="dxa" w:w="3629"/>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WHAT WAS REDACTED</w:t>
            </w:r>
          </w:p>
        </w:tc>
        <w:tc>
          <w:tcPr>
            <w:tcW w:type="dxa" w:w="5242"/>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WHY IT MATTERS</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1.7</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Price per dose — entire section redacted. The tiered structure (avg €15.50/dose) was completely hidden.</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Citizens could not assess whether public money was responsibly spent or whether Pfizer received above-market rates from a captive buyer with no competitive tender.</w:t>
            </w:r>
          </w:p>
        </w:tc>
      </w:tr>
      <w:tr>
        <w:trPr>
          <w:tblHeader w:val="false"/>
        </w:trPr>
        <w:tc>
          <w:tcPr>
            <w:tcW w:type="dxa" w:w="121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1.8.1</w:t>
            </w:r>
          </w:p>
        </w:tc>
        <w:tc>
          <w:tcPr>
            <w:tcW w:type="dxa" w:w="3629"/>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Advance payment — the €700 million upfront payment was hidden. Paid before a single dose was delivered.</w:t>
            </w:r>
          </w:p>
        </w:tc>
        <w:tc>
          <w:tcPr>
            <w:tcW w:type="dxa" w:w="5242"/>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Citizens money was committed before authorisation was received. No public scrutiny was possible while the commitment was being made.</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1.6.3</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Delivery schedule — dates and quarterly volumes redacted.</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Citizens could not verify whether deliveries were on schedule or whether governments were accepting substandard performance without consequence.</w:t>
            </w:r>
          </w:p>
        </w:tc>
      </w:tr>
      <w:tr>
        <w:trPr>
          <w:tblHeader w:val="false"/>
        </w:trPr>
        <w:tc>
          <w:tcPr>
            <w:tcW w:type="dxa" w:w="121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1.6.9</w:t>
            </w:r>
          </w:p>
        </w:tc>
        <w:tc>
          <w:tcPr>
            <w:tcW w:type="dxa" w:w="3629"/>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Storage temperature — the -75°C extreme cold chain requirement was redacted.</w:t>
            </w:r>
          </w:p>
        </w:tc>
        <w:tc>
          <w:tcPr>
            <w:tcW w:type="dxa" w:w="5242"/>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The true total cost of procurement was concealed. Citizens were not told of the extreme cold chain infrastructure their governments had committed to fund and maintain.</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1.6.12</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Risk of loss — clause transferring all risk to Member States upon delivery was entirely redacted.</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From the moment of delivery, all physical and financial risk transferred to governments. Citizens bore the loss of any spoilage, wastage, or unused doses without knowing this had been agreed.</w:t>
            </w:r>
          </w:p>
        </w:tc>
      </w:tr>
      <w:tr>
        <w:trPr>
          <w:tblHeader w:val="false"/>
        </w:trPr>
        <w:tc>
          <w:tcPr>
            <w:tcW w:type="dxa" w:w="121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1.12</w:t>
            </w:r>
          </w:p>
        </w:tc>
        <w:tc>
          <w:tcPr>
            <w:tcW w:type="dxa" w:w="3629"/>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Indemnification — full liability transfer clause redacted. Pfizer indemnified against virtually all adverse outcomes.</w:t>
            </w:r>
          </w:p>
        </w:tc>
        <w:tc>
          <w:tcPr>
            <w:tcW w:type="dxa" w:w="5242"/>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Citizens could not know their governments had waived the right to sue Pfizer for harm caused by the vaccine. The manufacturer bore no accountability; citizens bore unlimited liability.</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1.9</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Contact names — Janine Small (Pfizer relationship manager) and Nanette Cocero (signatory) were redacted.</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Accountability requires knowing who signed and who managed the relationship. Anonymisation of corporate signatories is without precedent in public procurement.</w:t>
            </w:r>
          </w:p>
        </w:tc>
      </w:tr>
      <w:tr>
        <w:trPr>
          <w:tblHeader w:val="false"/>
        </w:trPr>
        <w:tc>
          <w:tcPr>
            <w:tcW w:type="dxa" w:w="121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1.8.3</w:t>
            </w:r>
          </w:p>
        </w:tc>
        <w:tc>
          <w:tcPr>
            <w:tcW w:type="dxa" w:w="3629"/>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Bank account — the Citibank Dublin destination account for the €700M advance was redacted.</w:t>
            </w:r>
          </w:p>
        </w:tc>
        <w:tc>
          <w:tcPr>
            <w:tcW w:type="dxa" w:w="5242"/>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Public money was wired to an undisclosed account. Citizens had no means to verify the advance payment reached the intended recipient or remained within proper channels.</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II.15</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Amendment conditions (Moderna) — how and when the contract could be changed was redacted.</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Oversight bodies could not assess whether subsequent modifications to pricing, liability, or delivery were authorised — or whether new obligations were imposed without parliamentary knowledge.</w:t>
            </w:r>
          </w:p>
        </w:tc>
      </w:tr>
    </w:tbl>
    <w:p>
      <w:pPr>
        <w:spacing w:after="60" w:before="0"/>
      </w:pPr>
      <w:r>
        <w:t xml:space="preserve"/>
      </w:r>
    </w:p>
    <w:p>
      <w:pPr>
        <w:spacing w:after="60" w:before="60" w:line="288"/>
        <w:jc w:val="both"/>
      </w:pPr>
      <w:r>
        <w:rPr>
          <w:rFonts w:ascii="Arial" w:cs="Arial" w:eastAsia="Arial" w:hAnsi="Arial"/>
          <w:b w:val="false"/>
          <w:bCs w:val="false"/>
          <w:i w:val="false"/>
          <w:iCs w:val="false"/>
          <w:color w:val="1a1a1a"/>
          <w:sz w:val="20"/>
          <w:szCs w:val="20"/>
        </w:rPr>
        <w:t xml:space="preserve">The pattern: redactions fell into three categories — (1) price and financial commitments; (2) risk and liability transfer; (3) operational details revealing practical implications. What was left visible provided political legitimacy. What was hidden would have provoked opposition. These were political decisions enforced by confidentiality clauses written by private corporations against sovereign governments.</w:t>
      </w:r>
    </w:p>
    <w:p>
      <w:pPr>
        <w:pStyle w:val="Heading2"/>
        <w:spacing w:after="80" w:before="200"/>
      </w:pPr>
      <w:r>
        <w:rPr>
          <w:rFonts w:ascii="Arial" w:cs="Arial" w:eastAsia="Arial" w:hAnsi="Arial"/>
          <w:b/>
          <w:bCs/>
          <w:color w:val="1a1a2e"/>
          <w:sz w:val="22"/>
          <w:szCs w:val="22"/>
        </w:rPr>
        <w:t xml:space="preserve">5.3 Pfizer/BioNTech APA — Price Structure</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5040"/>
        <w:gridCol w:w="5040"/>
      </w:tblGrid>
      <w:tr>
        <w:trPr>
          <w:tblHeader/>
        </w:trPr>
        <w:tc>
          <w:tcPr>
            <w:tcW w:type="dxa" w:w="504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Volume Tier</w:t>
            </w:r>
          </w:p>
        </w:tc>
        <w:tc>
          <w:tcPr>
            <w:tcW w:type="dxa" w:w="504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Price Per Dose (excl. VAT)</w:t>
            </w:r>
          </w:p>
        </w:tc>
      </w:tr>
      <w:tr>
        <w:trPr>
          <w:tblHeader w:val="false"/>
        </w:trPr>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Doses 1–100 million</w:t>
            </w:r>
          </w:p>
        </w:tc>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€17.50</w:t>
            </w:r>
          </w:p>
        </w:tc>
      </w:tr>
      <w:tr>
        <w:trPr>
          <w:tblHeader w:val="false"/>
        </w:trPr>
        <w:tc>
          <w:tcPr>
            <w:tcW w:type="dxa" w:w="504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Doses 101–200 million</w:t>
            </w:r>
          </w:p>
        </w:tc>
        <w:tc>
          <w:tcPr>
            <w:tcW w:type="dxa" w:w="504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€13.50</w:t>
            </w:r>
          </w:p>
        </w:tc>
      </w:tr>
      <w:tr>
        <w:trPr>
          <w:tblHeader w:val="false"/>
        </w:trPr>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Average (200M doses)</w:t>
            </w:r>
          </w:p>
        </w:tc>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€15.50</w:t>
            </w:r>
          </w:p>
        </w:tc>
      </w:tr>
      <w:tr>
        <w:trPr>
          <w:tblHeader w:val="false"/>
        </w:trPr>
        <w:tc>
          <w:tcPr>
            <w:tcW w:type="dxa" w:w="504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Additional order (≤3 months post-authorisation)</w:t>
            </w:r>
          </w:p>
        </w:tc>
        <w:tc>
          <w:tcPr>
            <w:tcW w:type="dxa" w:w="504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€15.50</w:t>
            </w:r>
          </w:p>
        </w:tc>
      </w:tr>
      <w:tr>
        <w:trPr>
          <w:tblHeader w:val="false"/>
        </w:trPr>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Additional order (thereafter)</w:t>
            </w:r>
          </w:p>
        </w:tc>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€17.50</w:t>
            </w:r>
          </w:p>
        </w:tc>
      </w:tr>
    </w:tbl>
    <w:p>
      <w:pPr>
        <w:spacing w:after="40" w:before="0"/>
      </w:pPr>
      <w:r>
        <w:t xml:space="preserve"/>
      </w:r>
    </w:p>
    <w:p>
      <w:pPr>
        <w:spacing w:after="60" w:before="60" w:line="288"/>
        <w:jc w:val="both"/>
      </w:pPr>
      <w:r>
        <w:rPr>
          <w:rFonts w:ascii="Arial" w:cs="Arial" w:eastAsia="Arial" w:hAnsi="Arial"/>
          <w:b w:val="false"/>
          <w:bCs w:val="false"/>
          <w:i w:val="false"/>
          <w:iCs w:val="false"/>
          <w:color w:val="1a1a1a"/>
          <w:sz w:val="20"/>
          <w:szCs w:val="20"/>
        </w:rPr>
        <w:t xml:space="preserve">Advance Payment: €700 million (€3.50 × 200M doses), payable within 20 business days of signing — before any doses were delivered, before authorisation was received. Paid to Pfizer Inc. EUR Account, Citibank Dublin, Ireland.</w:t>
      </w:r>
    </w:p>
    <w:p>
      <w:pPr>
        <w:pStyle w:val="Heading2"/>
        <w:spacing w:after="80" w:before="200"/>
      </w:pPr>
      <w:r>
        <w:rPr>
          <w:rFonts w:ascii="Arial" w:cs="Arial" w:eastAsia="Arial" w:hAnsi="Arial"/>
          <w:b/>
          <w:bCs/>
          <w:color w:val="1a1a2e"/>
          <w:sz w:val="22"/>
          <w:szCs w:val="22"/>
        </w:rPr>
        <w:t xml:space="preserve">5.4 Liability Transfer</w:t>
      </w:r>
    </w:p>
    <w:p>
      <w:pPr>
        <w:spacing w:after="60" w:before="60" w:line="288"/>
        <w:jc w:val="both"/>
      </w:pPr>
      <w:r>
        <w:rPr>
          <w:rFonts w:ascii="Arial" w:cs="Arial" w:eastAsia="Arial" w:hAnsi="Arial"/>
          <w:b w:val="false"/>
          <w:bCs w:val="false"/>
          <w:i w:val="false"/>
          <w:iCs w:val="false"/>
          <w:color w:val="1a1a1a"/>
          <w:sz w:val="20"/>
          <w:szCs w:val="20"/>
        </w:rPr>
        <w:t xml:space="preserve">Both contracts transferred all liability for adverse events from the manufacturers to the Member States and ultimately to citizens. The companies were indemnified for any liability arising from the use and deployment of the vaccines. This provision was redacted from the publicly released versions.</w:t>
      </w:r>
    </w:p>
    <w:p>
      <w:pPr>
        <w:pStyle w:val="Heading2"/>
        <w:spacing w:after="80" w:before="200"/>
      </w:pPr>
      <w:r>
        <w:rPr>
          <w:rFonts w:ascii="Arial" w:cs="Arial" w:eastAsia="Arial" w:hAnsi="Arial"/>
          <w:b/>
          <w:bCs/>
          <w:color w:val="1a1a2e"/>
          <w:sz w:val="22"/>
          <w:szCs w:val="22"/>
        </w:rPr>
        <w:t xml:space="preserve">5.5 Intellectual Property</w:t>
      </w:r>
    </w:p>
    <w:p>
      <w:pPr>
        <w:spacing w:after="60" w:before="60" w:line="288"/>
        <w:jc w:val="both"/>
      </w:pPr>
      <w:r>
        <w:rPr>
          <w:rFonts w:ascii="Arial" w:cs="Arial" w:eastAsia="Arial" w:hAnsi="Arial"/>
          <w:b w:val="false"/>
          <w:bCs w:val="false"/>
          <w:i w:val="false"/>
          <w:iCs w:val="false"/>
          <w:color w:val="1a1a1a"/>
          <w:sz w:val="20"/>
          <w:szCs w:val="20"/>
        </w:rPr>
        <w:t xml:space="preserve">Both contracts grant Pfizer and Moderna sole ownership of all intellectual property generated during development — IP substantially funded by EU taxpayers through advance payments. This connects directly to Merkel's blocking of the TRIPS waiver, which would have permitted other manufacturers to produce vaccines using that IP without licensing restrictions.</w:t>
      </w:r>
    </w:p>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6. Safety Data — What Was Known and When</w:t>
      </w:r>
    </w:p>
    <w:p>
      <w:pPr>
        <w:pStyle w:val="Heading2"/>
        <w:spacing w:after="80" w:before="200"/>
      </w:pPr>
      <w:r>
        <w:rPr>
          <w:rFonts w:ascii="Arial" w:cs="Arial" w:eastAsia="Arial" w:hAnsi="Arial"/>
          <w:b/>
          <w:bCs/>
          <w:color w:val="1a1a2e"/>
          <w:sz w:val="22"/>
          <w:szCs w:val="22"/>
        </w:rPr>
        <w:t xml:space="preserve">6.1 Post-Marketing Adverse Events (Pfizer 5.3.6)</w:t>
      </w:r>
    </w:p>
    <w:p>
      <w:pPr>
        <w:spacing w:after="60" w:before="60" w:line="288"/>
        <w:jc w:val="both"/>
      </w:pPr>
      <w:r>
        <w:rPr>
          <w:rFonts w:ascii="Arial" w:cs="Arial" w:eastAsia="Arial" w:hAnsi="Arial"/>
          <w:b w:val="false"/>
          <w:bCs w:val="false"/>
          <w:i w:val="false"/>
          <w:iCs w:val="false"/>
          <w:color w:val="1a1a1a"/>
          <w:sz w:val="20"/>
          <w:szCs w:val="20"/>
        </w:rPr>
        <w:t xml:space="preserve">Pfizer's own post-marketing surveillance data (document reference 5.3.6, covering the first 90 days of rollout to 28 February 2021) identified 1,291 adverse event categories of special interest across 42,086 case reports. This data was submitted to the FDA, which sought to withhold it from public release for 75 years. Federal court orders ultimately required earlier disclosure.</w:t>
      </w:r>
    </w:p>
    <w:p>
      <w:pPr>
        <w:spacing w:after="60" w:before="60" w:line="288"/>
        <w:jc w:val="both"/>
      </w:pPr>
      <w:r>
        <w:rPr>
          <w:rFonts w:ascii="Arial" w:cs="Arial" w:eastAsia="Arial" w:hAnsi="Arial"/>
          <w:b w:val="false"/>
          <w:bCs w:val="false"/>
          <w:i w:val="false"/>
          <w:iCs w:val="false"/>
          <w:color w:val="1a1a1a"/>
          <w:sz w:val="20"/>
          <w:szCs w:val="20"/>
        </w:rPr>
        <w:t xml:space="preserve">Member States were contractually indemnifying Pfizer against losses from these events — at the same time as citizens were being told the vaccines were safe and effective without qualification.</w:t>
      </w:r>
    </w:p>
    <w:p>
      <w:pPr>
        <w:spacing w:after="100" w:before="40"/>
        <w:ind w:left="360"/>
      </w:pPr>
      <w:r>
        <w:rPr>
          <w:rFonts w:ascii="Arial" w:cs="Arial" w:eastAsia="Arial" w:hAnsi="Arial"/>
          <w:b w:val="false"/>
          <w:bCs w:val="false"/>
          <w:i/>
          <w:iCs/>
          <w:color w:val="555555"/>
          <w:sz w:val="17"/>
          <w:szCs w:val="17"/>
        </w:rPr>
        <w:t xml:space="preserve">Source: Pfizer document 5.3.6 — Post-Marketing Experience (project file: 5_3_6postmarketingexperience.pdf)</w:t>
      </w:r>
    </w:p>
    <w:p>
      <w:pPr>
        <w:pStyle w:val="Heading2"/>
        <w:spacing w:after="80" w:before="200"/>
      </w:pPr>
      <w:r>
        <w:rPr>
          <w:rFonts w:ascii="Arial" w:cs="Arial" w:eastAsia="Arial" w:hAnsi="Arial"/>
          <w:b/>
          <w:bCs/>
          <w:color w:val="1a1a2e"/>
          <w:sz w:val="22"/>
          <w:szCs w:val="22"/>
        </w:rPr>
        <w:t xml:space="preserve">6.2 Occupational Safety — Comirnaty Sicherheitsdatenblatt</w:t>
      </w:r>
    </w:p>
    <w:p>
      <w:pPr>
        <w:spacing w:after="60" w:before="60" w:line="288"/>
        <w:jc w:val="both"/>
      </w:pPr>
      <w:r>
        <w:rPr>
          <w:rFonts w:ascii="Arial" w:cs="Arial" w:eastAsia="Arial" w:hAnsi="Arial"/>
          <w:b w:val="false"/>
          <w:bCs w:val="false"/>
          <w:i w:val="false"/>
          <w:iCs w:val="false"/>
          <w:color w:val="1a1a1a"/>
          <w:sz w:val="20"/>
          <w:szCs w:val="20"/>
        </w:rPr>
        <w:t xml:space="preserve">The Comirnaty occupational safety datasheet describes the substance at OEB5 — the highest hazard band for occupational exposure. Toxicological properties are described as 'not thoroughly investigated.' The document specifies requirements for respiratory protection, full body protective clothing, and eye protection when handling the substance.</w:t>
      </w:r>
    </w:p>
    <w:p>
      <w:pPr>
        <w:spacing w:after="60" w:before="60" w:line="288"/>
        <w:jc w:val="both"/>
      </w:pPr>
      <w:r>
        <w:rPr>
          <w:rFonts w:ascii="Arial" w:cs="Arial" w:eastAsia="Arial" w:hAnsi="Arial"/>
          <w:b w:val="false"/>
          <w:bCs w:val="false"/>
          <w:i w:val="false"/>
          <w:iCs w:val="false"/>
          <w:color w:val="1a1a1a"/>
          <w:sz w:val="20"/>
          <w:szCs w:val="20"/>
        </w:rPr>
        <w:t xml:space="preserve">This document was not proactively distributed to administering healthcare workers as required by workplace safety law. Links from which it could be downloaded were redacted. BioNTech appeared unable to locate the document promptly when requested by the German Federal Ministry of Health.</w:t>
      </w:r>
    </w:p>
    <w:p>
      <w:pPr>
        <w:spacing w:after="100" w:before="40"/>
        <w:ind w:left="360"/>
      </w:pPr>
      <w:r>
        <w:rPr>
          <w:rFonts w:ascii="Arial" w:cs="Arial" w:eastAsia="Arial" w:hAnsi="Arial"/>
          <w:b w:val="false"/>
          <w:bCs w:val="false"/>
          <w:i/>
          <w:iCs/>
          <w:color w:val="555555"/>
          <w:sz w:val="17"/>
          <w:szCs w:val="17"/>
        </w:rPr>
        <w:t xml:space="preserve">Source: Pfizer-BioNTech Sicherheitsdatenblatt (Safety Data Sheet), Version 2.01, 13 May 2022 (project file); German Federal Ministry of Health correspondence (project file)</w:t>
      </w:r>
    </w:p>
    <w:p>
      <w:pPr>
        <w:pStyle w:val="Heading2"/>
        <w:spacing w:after="80" w:before="200"/>
      </w:pPr>
      <w:r>
        <w:rPr>
          <w:rFonts w:ascii="Arial" w:cs="Arial" w:eastAsia="Arial" w:hAnsi="Arial"/>
          <w:b/>
          <w:bCs/>
          <w:color w:val="1a1a2e"/>
          <w:sz w:val="22"/>
          <w:szCs w:val="22"/>
        </w:rPr>
        <w:t xml:space="preserve">6.3 EMA Confirmation on Transmission</w:t>
      </w:r>
    </w:p>
    <w:p>
      <w:pPr>
        <w:spacing w:after="60" w:before="60" w:line="288"/>
        <w:jc w:val="both"/>
      </w:pPr>
      <w:r>
        <w:rPr>
          <w:rFonts w:ascii="Arial" w:cs="Arial" w:eastAsia="Arial" w:hAnsi="Arial"/>
          <w:b w:val="false"/>
          <w:bCs w:val="false"/>
          <w:i w:val="false"/>
          <w:iCs w:val="false"/>
          <w:color w:val="1a1a1a"/>
          <w:sz w:val="20"/>
          <w:szCs w:val="20"/>
        </w:rPr>
        <w:t xml:space="preserve">In October 2023, the European Medicines Agency responded in writing to MEPs Marcel de Graaff, Gilbert Collard, Francesca Donato, Joachim Kuhs, Mislav Kolakušić, Virginie Joron, Ivan Vilibor Sinčić and Bernhard Zimniok, confirming that COVID-19 vaccines 'have not been authorised for preventing transmission from one person to another.' The authorised indication is protection of the vaccinated individual only.</w:t>
      </w:r>
    </w:p>
    <w:p>
      <w:pPr>
        <w:spacing w:after="60" w:before="60" w:line="288"/>
        <w:jc w:val="both"/>
      </w:pPr>
      <w:r>
        <w:rPr>
          <w:rFonts w:ascii="Arial" w:cs="Arial" w:eastAsia="Arial" w:hAnsi="Arial"/>
          <w:b w:val="false"/>
          <w:bCs w:val="false"/>
          <w:i w:val="false"/>
          <w:iCs w:val="false"/>
          <w:color w:val="1a1a1a"/>
          <w:sz w:val="20"/>
          <w:szCs w:val="20"/>
        </w:rPr>
        <w:t xml:space="preserve">Transmission prevention was the stated justification for vaccine passports and access restrictions that functionally compelled vaccination across Europe without formal mandate. The EMA's confirmation means those restrictions lacked the scientific foundation on which they were publicly justified.</w:t>
      </w:r>
    </w:p>
    <w:p>
      <w:pPr>
        <w:spacing w:after="100" w:before="40"/>
        <w:ind w:left="360"/>
      </w:pPr>
      <w:r>
        <w:rPr>
          <w:rFonts w:ascii="Arial" w:cs="Arial" w:eastAsia="Arial" w:hAnsi="Arial"/>
          <w:b w:val="false"/>
          <w:bCs w:val="false"/>
          <w:i/>
          <w:iCs/>
          <w:color w:val="555555"/>
          <w:sz w:val="17"/>
          <w:szCs w:val="17"/>
        </w:rPr>
        <w:t xml:space="preserve">Source: EMA letter to MEP Marcel de Graaff et al., 18 October 2023, EMA/451828/2023 (project file: 2023_10_18_Letter_to_MEP_Marcel_de_Graaff_Request_for_the_direct.pdf)</w:t>
      </w:r>
    </w:p>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7. Compulsion Without Mandate</w:t>
      </w:r>
    </w:p>
    <w:p>
      <w:pPr>
        <w:spacing w:after="60" w:before="60" w:line="288"/>
        <w:jc w:val="both"/>
      </w:pPr>
      <w:r>
        <w:rPr>
          <w:rFonts w:ascii="Arial" w:cs="Arial" w:eastAsia="Arial" w:hAnsi="Arial"/>
          <w:b w:val="false"/>
          <w:bCs w:val="false"/>
          <w:i w:val="false"/>
          <w:iCs w:val="false"/>
          <w:color w:val="1a1a1a"/>
          <w:sz w:val="20"/>
          <w:szCs w:val="20"/>
        </w:rPr>
        <w:t xml:space="preserve">Formal vaccine mandates were rejected by democratic processes in Germany — the Bundestag voted against compulsory vaccination on 7 April 2022 (primary proposal defeated 378–296). The same outcome was avoided or circumvented across Europe through a consistent mechanism: access restrictions implemented by executive action, without the same parliamentary scrutiny that formal mandates would have required.</w:t>
      </w:r>
    </w:p>
    <w:p>
      <w:pPr>
        <w:spacing w:after="60" w:before="60" w:line="288"/>
        <w:jc w:val="both"/>
      </w:pPr>
      <w:r>
        <w:rPr>
          <w:rFonts w:ascii="Arial" w:cs="Arial" w:eastAsia="Arial" w:hAnsi="Arial"/>
          <w:b w:val="false"/>
          <w:bCs w:val="false"/>
          <w:i w:val="false"/>
          <w:iCs w:val="false"/>
          <w:color w:val="1a1a1a"/>
          <w:sz w:val="20"/>
          <w:szCs w:val="20"/>
        </w:rPr>
        <w:t xml:space="preserve">Germany's tiered access restriction system (2G/3G rules):</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2000"/>
        <w:gridCol w:w="3500"/>
        <w:gridCol w:w="4580"/>
      </w:tblGrid>
      <w:tr>
        <w:trPr>
          <w:tblHeader/>
        </w:trPr>
        <w:tc>
          <w:tcPr>
            <w:tcW w:type="dxa" w:w="20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Rule</w:t>
            </w:r>
          </w:p>
        </w:tc>
        <w:tc>
          <w:tcPr>
            <w:tcW w:type="dxa" w:w="35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Who Qualified</w:t>
            </w:r>
          </w:p>
        </w:tc>
        <w:tc>
          <w:tcPr>
            <w:tcW w:type="dxa" w:w="458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Where Applied</w:t>
            </w:r>
          </w:p>
        </w:tc>
      </w:tr>
      <w:tr>
        <w:trPr>
          <w:tblHeader w:val="false"/>
        </w:trPr>
        <w:tc>
          <w:tcPr>
            <w:tcW w:type="dxa" w:w="20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3G</w:t>
            </w:r>
          </w:p>
        </w:tc>
        <w:tc>
          <w:tcPr>
            <w:tcW w:type="dxa" w:w="35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Vaccinated, recovered, or tested</w:t>
            </w:r>
          </w:p>
        </w:tc>
        <w:tc>
          <w:tcPr>
            <w:tcW w:type="dxa" w:w="45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Workplaces and public transport</w:t>
            </w:r>
          </w:p>
        </w:tc>
      </w:tr>
      <w:tr>
        <w:trPr>
          <w:tblHeader w:val="false"/>
        </w:trPr>
        <w:tc>
          <w:tcPr>
            <w:tcW w:type="dxa" w:w="20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2G</w:t>
            </w:r>
          </w:p>
        </w:tc>
        <w:tc>
          <w:tcPr>
            <w:tcW w:type="dxa" w:w="35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Vaccinated or recovered only — NO test alternative</w:t>
            </w:r>
          </w:p>
        </w:tc>
        <w:tc>
          <w:tcPr>
            <w:tcW w:type="dxa" w:w="45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Bars, restaurants, cinemas, museums, events</w:t>
            </w:r>
          </w:p>
        </w:tc>
      </w:tr>
      <w:tr>
        <w:trPr>
          <w:tblHeader w:val="false"/>
        </w:trPr>
        <w:tc>
          <w:tcPr>
            <w:tcW w:type="dxa" w:w="20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2G+</w:t>
            </w:r>
          </w:p>
        </w:tc>
        <w:tc>
          <w:tcPr>
            <w:tcW w:type="dxa" w:w="35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Vaccinated/recovered + PCR test</w:t>
            </w:r>
          </w:p>
        </w:tc>
        <w:tc>
          <w:tcPr>
            <w:tcW w:type="dxa" w:w="45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High-incidence states and settings</w:t>
            </w:r>
          </w:p>
        </w:tc>
      </w:tr>
    </w:tbl>
    <w:p>
      <w:pPr>
        <w:spacing w:after="40" w:before="0"/>
      </w:pPr>
      <w:r>
        <w:t xml:space="preserve"/>
      </w:r>
    </w:p>
    <w:p>
      <w:pPr>
        <w:spacing w:after="60" w:before="60" w:line="288"/>
        <w:jc w:val="both"/>
      </w:pPr>
      <w:r>
        <w:rPr>
          <w:rFonts w:ascii="Arial" w:cs="Arial" w:eastAsia="Arial" w:hAnsi="Arial"/>
          <w:b w:val="false"/>
          <w:bCs w:val="false"/>
          <w:i w:val="false"/>
          <w:iCs w:val="false"/>
          <w:color w:val="1a1a1a"/>
          <w:sz w:val="20"/>
          <w:szCs w:val="20"/>
        </w:rPr>
        <w:t xml:space="preserve">The 3G rule applied to workplaces and public transport — neither optional for most working people. The 2G rule excluded the unvaccinated even with a negative test. These restrictions were implemented by federal-state executive agreements and ordinances — bypassing the same parliamentary scrutiny that defeated the formal mandate. The constitutional challenge a mandate would have faced was avoided; near-equivalent coercive effect was achieved.</w:t>
      </w:r>
    </w:p>
    <w:p>
      <w:pPr>
        <w:spacing w:after="60" w:before="60" w:line="288"/>
        <w:jc w:val="both"/>
      </w:pPr>
      <w:r>
        <w:rPr>
          <w:rFonts w:ascii="Arial" w:cs="Arial" w:eastAsia="Arial" w:hAnsi="Arial"/>
          <w:b w:val="false"/>
          <w:bCs w:val="false"/>
          <w:i w:val="false"/>
          <w:iCs w:val="false"/>
          <w:color w:val="1a1a1a"/>
          <w:sz w:val="20"/>
          <w:szCs w:val="20"/>
        </w:rPr>
        <w:t xml:space="preserve">Citizens were coerced into accepting a product whose long-term effects their governments had acknowledged in writing were unknown, on the basis of a transmission-prevention claim the authorising regulator had not made, under contracts that transferred all liability to those same citizens, negotiated by officials with undisclosed conflicts of interest, using communications that were subsequently destroyed.</w:t>
      </w:r>
    </w:p>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8. Source Attribution — Complete and Corrected</w:t>
      </w:r>
    </w:p>
    <w:p>
      <w:pPr>
        <w:spacing w:after="60" w:before="60" w:line="288"/>
        <w:jc w:val="both"/>
      </w:pPr>
      <w:r>
        <w:rPr>
          <w:rFonts w:ascii="Arial" w:cs="Arial" w:eastAsia="Arial" w:hAnsi="Arial"/>
          <w:b w:val="false"/>
          <w:bCs w:val="false"/>
          <w:i w:val="false"/>
          <w:iCs w:val="false"/>
          <w:color w:val="1a1a1a"/>
          <w:sz w:val="20"/>
          <w:szCs w:val="20"/>
        </w:rPr>
        <w:t xml:space="preserve">All major claims in this document are attributed below with correct sources. Earlier research sessions contained citation index errors (specifically: material about the Merkel/Von der Leyen relationship was incorrectly attributed to the Rothschild &amp; Co website; that website contains only the investor interview with Pfizer). Those errors are corrected here.</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3800"/>
        <w:gridCol w:w="2800"/>
        <w:gridCol w:w="3480"/>
      </w:tblGrid>
      <w:tr>
        <w:trPr>
          <w:tblHeader/>
        </w:trPr>
        <w:tc>
          <w:tcPr>
            <w:tcW w:type="dxa" w:w="38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Claim</w:t>
            </w:r>
          </w:p>
        </w:tc>
        <w:tc>
          <w:tcPr>
            <w:tcW w:type="dxa" w:w="28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Source</w:t>
            </w:r>
          </w:p>
        </w:tc>
        <w:tc>
          <w:tcPr>
            <w:tcW w:type="dxa" w:w="348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URL / Reference</w:t>
            </w:r>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Merkel placed trust in VdL as unproven politician</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Foreign Policy, 30 April 2021</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dk5fy1eygw4qugombdlyx">
              <w:r>
                <w:rPr>
                  <w:rFonts w:ascii="Arial" w:cs="Arial" w:eastAsia="Arial" w:hAnsi="Arial"/>
                  <w:color w:val="1155CC"/>
                  <w:sz w:val="18"/>
                  <w:szCs w:val="18"/>
                  <w:u w:val="single"/>
                </w:rPr>
                <w:t xml:space="preserve">foreignpolicy.com — "The Aristocratic Ineptitude..."</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VdL "loyal confidante" of Merkel; likely successor</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France 24, 1 December 2019</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hyperlink w:history="1" r:id="rIdmukhvy_lgffrbevqstfqt">
              <w:r>
                <w:rPr>
                  <w:rFonts w:ascii="Arial" w:cs="Arial" w:eastAsia="Arial" w:hAnsi="Arial"/>
                  <w:color w:val="1155CC"/>
                  <w:sz w:val="18"/>
                  <w:szCs w:val="18"/>
                  <w:u w:val="single"/>
                </w:rPr>
                <w:t xml:space="preserve">france24.com — "Merkel loyalist, favoured by Macron"</w:t>
              </w:r>
            </w:hyperlink>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VdL only minister in all four Merkel cabinets</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France 24 (2019); Wikipedia</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nbqbudtvrhiy4pcyjmk8z">
              <w:r>
                <w:rPr>
                  <w:rFonts w:ascii="Arial" w:cs="Arial" w:eastAsia="Arial" w:hAnsi="Arial"/>
                  <w:color w:val="1155CC"/>
                  <w:sz w:val="18"/>
                  <w:szCs w:val="18"/>
                  <w:u w:val="single"/>
                </w:rPr>
                <w:t xml:space="preserve">en.wikipedia.org/wiki/Ursula_von_der_Leyen</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2018 reappointment as sign of Merkel confidence</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CDU official biography</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hyperlink w:history="1" r:id="rIdrlstxxhjeytrripudocl5">
              <w:r>
                <w:rPr>
                  <w:rFonts w:ascii="Arial" w:cs="Arial" w:eastAsia="Arial" w:hAnsi="Arial"/>
                  <w:color w:val="1155CC"/>
                  <w:sz w:val="18"/>
                  <w:szCs w:val="18"/>
                  <w:u w:val="single"/>
                </w:rPr>
                <w:t xml:space="preserve">kas.de — CDU Geschichte</w:t>
              </w:r>
            </w:hyperlink>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Macron as Rothschild protégé; FT description</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Financial Times (2018); Factually.co</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w_5dcubieswafswcuom17">
              <w:r>
                <w:rPr>
                  <w:rFonts w:ascii="Arial" w:cs="Arial" w:eastAsia="Arial" w:hAnsi="Arial"/>
                  <w:color w:val="1155CC"/>
                  <w:sz w:val="18"/>
                  <w:szCs w:val="18"/>
                  <w:u w:val="single"/>
                </w:rPr>
                <w:t xml:space="preserve">factually.co/fact-checks/politics/macron-rothschild-connections</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Macron's Pfizer deal at Rothschild (Nestlé APA)</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Money.com; Wikipedia</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hyperlink w:history="1" r:id="rIdlcm_mgmnoofxcipsjbs8z">
              <w:r>
                <w:rPr>
                  <w:rFonts w:ascii="Arial" w:cs="Arial" w:eastAsia="Arial" w:hAnsi="Arial"/>
                  <w:color w:val="1155CC"/>
                  <w:sz w:val="18"/>
                  <w:szCs w:val="18"/>
                  <w:u w:val="single"/>
                </w:rPr>
                <w:t xml:space="preserve">money.com/emmanuel-macron-french-president-wealth-net-worth-rich</w:t>
              </w:r>
            </w:hyperlink>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Rothschild &amp; Co investor interview with Pfizer [self-published]</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Rothschild &amp; Co own website, April 2021</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lgot5ioog-orjt-git2ky">
              <w:r>
                <w:rPr>
                  <w:rFonts w:ascii="Arial" w:cs="Arial" w:eastAsia="Arial" w:hAnsi="Arial"/>
                  <w:color w:val="1155CC"/>
                  <w:sz w:val="18"/>
                  <w:szCs w:val="18"/>
                  <w:u w:val="single"/>
                </w:rPr>
                <w:t xml:space="preserve">rothschildandco.com — "Investment Views: An interview with Pfizer"</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Merkel blocking TRIPS waiver</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Human Rights Watch, 14 June 2021</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hyperlink w:history="1" r:id="rIdqtjigzth80x5odq3ovrjo">
              <w:r>
                <w:rPr>
                  <w:rFonts w:ascii="Arial" w:cs="Arial" w:eastAsia="Arial" w:hAnsi="Arial"/>
                  <w:color w:val="1155CC"/>
                  <w:sz w:val="18"/>
                  <w:szCs w:val="18"/>
                  <w:u w:val="single"/>
                </w:rPr>
                <w:t xml:space="preserve">hrw.org — "Merkel should steer EU COVID-19 IP waiver"</w:t>
              </w:r>
            </w:hyperlink>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Atlantic Council ceremony — VdL and Bourla</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WorldNews, 17 November 2021</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vhvkxeezxu1cykxxovzzb">
              <w:r>
                <w:rPr>
                  <w:rFonts w:ascii="Arial" w:cs="Arial" w:eastAsia="Arial" w:hAnsi="Arial"/>
                  <w:color w:val="1155CC"/>
                  <w:sz w:val="18"/>
                  <w:szCs w:val="18"/>
                  <w:u w:val="single"/>
                </w:rPr>
                <w:t xml:space="preserve">article.wn.com — Atlantic Council ceremony</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EMA: vaccines not authorised for transmission</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EMA letter to MEP Marcel de Graaff, 18 October 2023</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Project file: 2023_10_18_Letter_to_MEP_Marcel_de_Graaff...pdf</w:t>
            </w:r>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Pfizer 1,291 adverse event categories in 90 days</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Pfizer 5.3.6 post-marketing report</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Project file: 5_3_6postmarketingexperience.pdf</w:t>
            </w:r>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EPPO investigation of VdL</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EPPO public statements; mainstream press</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Multiple outlets, 2022–2024; EPPO website</w:t>
            </w:r>
          </w:p>
        </w:tc>
      </w:tr>
    </w:tbl>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9. Merkel, the Stasi, and the Sealed File</w:t>
      </w:r>
    </w:p>
    <w:p>
      <w:pPr>
        <w:spacing w:after="60" w:before="60" w:line="288"/>
        <w:jc w:val="both"/>
      </w:pPr>
      <w:r>
        <w:rPr>
          <w:rFonts w:ascii="Arial" w:cs="Arial" w:eastAsia="Arial" w:hAnsi="Arial"/>
          <w:b w:val="false"/>
          <w:bCs w:val="false"/>
          <w:i w:val="false"/>
          <w:iCs w:val="false"/>
          <w:color w:val="1a1a1a"/>
          <w:sz w:val="20"/>
          <w:szCs w:val="20"/>
        </w:rPr>
        <w:t xml:space="preserve">A parallel accountability problem exists regarding Merkel's past in the German Democratic Republic — one that follows the same structural pattern as Von der Leyen's deleted text messages: the person with most to lose controls whether the evidence is seen.</w:t>
      </w:r>
    </w:p>
    <w:p>
      <w:pPr>
        <w:pStyle w:val="Heading2"/>
        <w:spacing w:after="80" w:before="200"/>
      </w:pPr>
      <w:r>
        <w:rPr>
          <w:rFonts w:ascii="Arial" w:cs="Arial" w:eastAsia="Arial" w:hAnsi="Arial"/>
          <w:b/>
          <w:bCs/>
          <w:color w:val="1a1a2e"/>
          <w:sz w:val="22"/>
          <w:szCs w:val="22"/>
        </w:rPr>
        <w:t xml:space="preserve">9.1 Maaßen's Statement — January 2025</w:t>
      </w:r>
    </w:p>
    <w:p>
      <w:pPr>
        <w:spacing w:after="60" w:before="60" w:line="288"/>
        <w:jc w:val="both"/>
      </w:pPr>
      <w:r>
        <w:rPr>
          <w:rFonts w:ascii="Arial" w:cs="Arial" w:eastAsia="Arial" w:hAnsi="Arial"/>
          <w:b w:val="false"/>
          <w:bCs w:val="false"/>
          <w:i w:val="false"/>
          <w:iCs w:val="false"/>
          <w:color w:val="1a1a1a"/>
          <w:sz w:val="20"/>
          <w:szCs w:val="20"/>
        </w:rPr>
        <w:t xml:space="preserve">In January 2025, Hans-Georg Maaßen — former President of Germany's domestic intelligence service (Verfassungsschutz), who was himself dismissed by Merkel — made the following public statement:</w:t>
      </w:r>
    </w:p>
    <w:p>
      <w:pPr>
        <w:spacing w:after="120" w:before="120" w:line="288"/>
        <w:ind w:left="720" w:right="720"/>
      </w:pPr>
      <w:r>
        <w:rPr>
          <w:rFonts w:ascii="Arial" w:cs="Arial" w:eastAsia="Arial" w:hAnsi="Arial"/>
          <w:i/>
          <w:iCs/>
          <w:color w:val="1a1a2e"/>
          <w:sz w:val="20"/>
          <w:szCs w:val="20"/>
        </w:rPr>
        <w:t xml:space="preserve">“The release of Ms. Merkel’s Stasi file is necessary in the interest of democracy, because citizens have a right to know whether they have been governed by a former operative of the Stasi and/or the KGB. If she had merely been a low-level employee of an administrative agency, her file would have had to be released long ago.”</w:t>
      </w:r>
    </w:p>
    <w:p>
      <w:pPr>
        <w:spacing w:after="60" w:before="60" w:line="288"/>
        <w:jc w:val="both"/>
      </w:pPr>
      <w:r>
        <w:rPr>
          <w:rFonts w:ascii="Arial" w:cs="Arial" w:eastAsia="Arial" w:hAnsi="Arial"/>
          <w:b w:val="false"/>
          <w:bCs w:val="false"/>
          <w:i w:val="false"/>
          <w:iCs w:val="false"/>
          <w:color w:val="1a1a1a"/>
          <w:sz w:val="20"/>
          <w:szCs w:val="20"/>
        </w:rPr>
        <w:t xml:space="preserve">Maaßen's statement carries particular weight: he held the highest domestic intelligence position in Germany and was dismissed by Merkel — giving him both institutional expertise and personal standing. His phrasing implies the file should have been released automatically if it were merely an administrative victim file — suggesting he has reason to believe it is not.</w:t>
      </w:r>
    </w:p>
    <w:p>
      <w:pPr>
        <w:spacing w:after="100" w:before="40"/>
        <w:ind w:left="360"/>
      </w:pPr>
      <w:r>
        <w:rPr>
          <w:rFonts w:ascii="Arial" w:cs="Arial" w:eastAsia="Arial" w:hAnsi="Arial"/>
          <w:b w:val="false"/>
          <w:bCs w:val="false"/>
          <w:i/>
          <w:iCs/>
          <w:color w:val="555555"/>
          <w:sz w:val="17"/>
          <w:szCs w:val="17"/>
        </w:rPr>
        <w:t xml:space="preserve">Source: Hans-Georg Maaßen public statement, January 2025. </w:t>
      </w:r>
      <w:hyperlink w:history="1" r:id="rIdjlerhtsealahawhunrelx">
        <w:r>
          <w:rPr>
            <w:rFonts w:ascii="Arial" w:cs="Arial" w:eastAsia="Arial" w:hAnsi="Arial"/>
            <w:color w:val="1155CC"/>
            <w:sz w:val="18"/>
            <w:szCs w:val="18"/>
            <w:u w:val="single"/>
          </w:rPr>
          <w:t xml:space="preserve">Facebook post (verified)</w:t>
        </w:r>
      </w:hyperlink>
      <w:r>
        <w:rPr>
          <w:rFonts w:ascii="Arial" w:cs="Arial" w:eastAsia="Arial" w:hAnsi="Arial"/>
          <w:b w:val="false"/>
          <w:bCs w:val="false"/>
          <w:i/>
          <w:iCs/>
          <w:color w:val="555555"/>
          <w:sz w:val="17"/>
          <w:szCs w:val="17"/>
        </w:rPr>
        <w:t xml:space="preserve">; confirmed by Journalistenwatch (January 31, 2025) and Philosophia Perennis (February 3, 2025).</w:t>
      </w:r>
    </w:p>
    <w:p>
      <w:pPr>
        <w:pStyle w:val="Heading2"/>
        <w:spacing w:after="80" w:before="200"/>
      </w:pPr>
      <w:r>
        <w:rPr>
          <w:rFonts w:ascii="Arial" w:cs="Arial" w:eastAsia="Arial" w:hAnsi="Arial"/>
          <w:b/>
          <w:bCs/>
          <w:color w:val="1a1a2e"/>
          <w:sz w:val="22"/>
          <w:szCs w:val="22"/>
        </w:rPr>
        <w:t xml:space="preserve">9.2 The Legal Battle and the March 2026 Ruling</w:t>
      </w:r>
    </w:p>
    <w:p>
      <w:pPr>
        <w:spacing w:after="60" w:before="60" w:line="288"/>
        <w:jc w:val="both"/>
      </w:pPr>
      <w:r>
        <w:rPr>
          <w:rFonts w:ascii="Arial" w:cs="Arial" w:eastAsia="Arial" w:hAnsi="Arial"/>
          <w:b w:val="false"/>
          <w:bCs w:val="false"/>
          <w:i w:val="false"/>
          <w:iCs w:val="false"/>
          <w:color w:val="1a1a1a"/>
          <w:sz w:val="20"/>
          <w:szCs w:val="20"/>
        </w:rPr>
        <w:t xml:space="preserve">Marcel Luthe — founder of the Good Governance Gewerkschaft and former FDP member of the Berlin parliament — brought a lawsuit before the Berlin Administrative Court to force release of Merkel's Stasi file, arguing that as a historical public figure and former Chancellor, her file falls within mandatory disclosure provisions of the Stasi Records Act.</w:t>
      </w:r>
    </w:p>
    <w:p>
      <w:pPr>
        <w:spacing w:after="60" w:before="60" w:line="288"/>
        <w:jc w:val="both"/>
      </w:pPr>
      <w:r>
        <w:rPr>
          <w:rFonts w:ascii="Arial" w:cs="Arial" w:eastAsia="Arial" w:hAnsi="Arial"/>
          <w:b w:val="false"/>
          <w:bCs w:val="false"/>
          <w:i w:val="false"/>
          <w:iCs w:val="false"/>
          <w:color w:val="1a1a1a"/>
          <w:sz w:val="20"/>
          <w:szCs w:val="20"/>
        </w:rPr>
        <w:t xml:space="preserve">On March 13, 2026, the court ruled against him. The First Chamber, presided over by Judge Jens Tegtmeier, found that Luthe had "no legal claim to the release" under the Stasi Records Act. Luthe was ordered to pay €20,000 in accumulated legal costs. The file remains sealed.</w:t>
      </w:r>
    </w:p>
    <w:p>
      <w:pPr>
        <w:spacing w:after="60" w:before="60" w:line="288"/>
        <w:jc w:val="both"/>
      </w:pPr>
      <w:r>
        <w:rPr>
          <w:rFonts w:ascii="Arial" w:cs="Arial" w:eastAsia="Arial" w:hAnsi="Arial"/>
          <w:b w:val="false"/>
          <w:bCs w:val="false"/>
          <w:i w:val="false"/>
          <w:iCs w:val="false"/>
          <w:color w:val="1a1a1a"/>
          <w:sz w:val="20"/>
          <w:szCs w:val="20"/>
        </w:rPr>
        <w:t xml:space="preserve">The legal mechanism: the Federal Archive classifies Merkel's possible file as a non-perpetrator file — meaning a file collecting information about her, rather than documenting her as a Stasi operative. This triggers personal data protection. Without Merkel's own consent, the file cannot be released. Merkel refuses to consent.</w:t>
      </w:r>
    </w:p>
    <w:p>
      <w:pPr>
        <w:spacing w:after="60" w:before="60" w:line="288"/>
        <w:jc w:val="both"/>
      </w:pPr>
      <w:r>
        <w:rPr>
          <w:rFonts w:ascii="Arial" w:cs="Arial" w:eastAsia="Arial" w:hAnsi="Arial"/>
          <w:b w:val="false"/>
          <w:bCs w:val="false"/>
          <w:i w:val="false"/>
          <w:iCs w:val="false"/>
          <w:color w:val="1a1a1a"/>
          <w:sz w:val="20"/>
          <w:szCs w:val="20"/>
        </w:rPr>
        <w:t xml:space="preserve">The structural problem: the classification as victim vs. perpetrator file is itself the question at issue. Whether Merkel was an informant or merely surveilled cannot be determined without seeing the file. But the file cannot be seen unless the question is already resolved in her favour. The court accepted the circular logic. The Berlin Administrative Court also delayed hearing the case for over a year before ruling.</w:t>
      </w:r>
    </w:p>
    <w:p>
      <w:pPr>
        <w:spacing w:after="100" w:before="40"/>
        <w:ind w:left="360"/>
      </w:pPr>
      <w:hyperlink w:history="1" r:id="rIdjwtccyzf0zdhonn5yppxc">
        <w:r>
          <w:rPr>
            <w:rFonts w:ascii="Arial" w:cs="Arial" w:eastAsia="Arial" w:hAnsi="Arial"/>
            <w:color w:val="1155CC"/>
            <w:sz w:val="18"/>
            <w:szCs w:val="18"/>
            <w:u w:val="single"/>
          </w:rPr>
          <w:t xml:space="preserve">Berliner Zeitung, March 13, 2026</w:t>
        </w:r>
      </w:hyperlink>
      <w:r>
        <w:rPr>
          <w:rFonts w:ascii="Arial" w:cs="Arial" w:eastAsia="Arial" w:hAnsi="Arial"/>
          <w:b w:val="false"/>
          <w:bCs w:val="false"/>
          <w:i/>
          <w:iCs/>
          <w:color w:val="555555"/>
          <w:sz w:val="17"/>
          <w:szCs w:val="17"/>
        </w:rPr>
        <w:t xml:space="preserve">; </w:t>
      </w:r>
      <w:hyperlink w:history="1" r:id="rIdbq42b9vg8nuqwtfyk69mu">
        <w:r>
          <w:rPr>
            <w:rFonts w:ascii="Arial" w:cs="Arial" w:eastAsia="Arial" w:hAnsi="Arial"/>
            <w:color w:val="1155CC"/>
            <w:sz w:val="18"/>
            <w:szCs w:val="18"/>
            <w:u w:val="single"/>
          </w:rPr>
          <w:t xml:space="preserve">Full legal analysis, March 15, 2026</w:t>
        </w:r>
      </w:hyperlink>
    </w:p>
    <w:p>
      <w:pPr>
        <w:pStyle w:val="Heading2"/>
        <w:spacing w:after="80" w:before="200"/>
      </w:pPr>
      <w:r>
        <w:rPr>
          <w:rFonts w:ascii="Arial" w:cs="Arial" w:eastAsia="Arial" w:hAnsi="Arial"/>
          <w:b/>
          <w:bCs/>
          <w:color w:val="1a1a2e"/>
          <w:sz w:val="22"/>
          <w:szCs w:val="22"/>
        </w:rPr>
        <w:t xml:space="preserve">9.3 Documented Anomalies from Merkel's DDR Years</w:t>
      </w:r>
    </w:p>
    <w:p>
      <w:pPr>
        <w:spacing w:after="60" w:before="60" w:line="288"/>
        <w:jc w:val="both"/>
      </w:pPr>
      <w:r>
        <w:rPr>
          <w:rFonts w:ascii="Arial" w:cs="Arial" w:eastAsia="Arial" w:hAnsi="Arial"/>
          <w:b w:val="false"/>
          <w:bCs w:val="false"/>
          <w:i w:val="false"/>
          <w:iCs w:val="false"/>
          <w:color w:val="1a1a1a"/>
          <w:sz w:val="20"/>
          <w:szCs w:val="20"/>
        </w:rPr>
        <w:t xml:space="preserve">The following facts about Merkel's DDR biography are documented and uncontested. They do not prove Stasi collaboration — but they constitute an unusual pattern that the sealed file would either explain or refute: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She was permitted to travel to West Germany multiple times without family members being held as hostages — the standard DDR practice for controlling citizens with Western contacts.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She made foreign trips to the Soviet Union, Poland, and Czechoslovakia — unusual for DDR citizens at her professional level.</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At least three colleagues at her institute (the Central Institute for Physical Chemistry, Academy of Sciences) were registered Inoffizielle Mitarbeiter (unofficial Stasi collaborators).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Her later political patron Lothar de Maizière — who gave her her first political role in 1990 — was subsequently identified as Stasi IM "Czerny."</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She held the position of Secretary for Agitation and Propaganda in the FDJ leadership of her institute — a role requiring ideological reliability and involving reporting on colleagues.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Despite documented infractions including smuggling Solidarność materials and making an illegal trip to the Soviet Union, she faced no disciplinary consequences — highly unusual in the DDR system.</w:t>
      </w:r>
    </w:p>
    <w:p>
      <w:pPr>
        <w:spacing w:after="100" w:before="40"/>
        <w:ind w:left="360"/>
      </w:pPr>
      <w:hyperlink w:history="1" r:id="rIdpgbx9tus4wbeayindw1sx">
        <w:r>
          <w:rPr>
            <w:rFonts w:ascii="Arial" w:cs="Arial" w:eastAsia="Arial" w:hAnsi="Arial"/>
            <w:color w:val="1155CC"/>
            <w:sz w:val="18"/>
            <w:szCs w:val="18"/>
            <w:u w:val="single"/>
          </w:rPr>
          <w:t xml:space="preserve">Journalistenwatch, September 27, 2025</w:t>
        </w:r>
      </w:hyperlink>
      <w:r>
        <w:rPr>
          <w:rFonts w:ascii="Arial" w:cs="Arial" w:eastAsia="Arial" w:hAnsi="Arial"/>
          <w:b w:val="false"/>
          <w:bCs w:val="false"/>
          <w:i/>
          <w:iCs/>
          <w:color w:val="555555"/>
          <w:sz w:val="17"/>
          <w:szCs w:val="17"/>
        </w:rPr>
        <w:t xml:space="preserve">; Hubertus Knabe research (Berlin-Hohenschönhausen Memorial); </w:t>
      </w:r>
      <w:hyperlink w:history="1" r:id="rIdjakxaokxbh5rtfi3me7bc">
        <w:r>
          <w:rPr>
            <w:rFonts w:ascii="Arial" w:cs="Arial" w:eastAsia="Arial" w:hAnsi="Arial"/>
            <w:color w:val="1155CC"/>
            <w:sz w:val="18"/>
            <w:szCs w:val="18"/>
            <w:u w:val="single"/>
          </w:rPr>
          <w:t xml:space="preserve">Kettner Edelmetalle analysis, May 12, 2025</w:t>
        </w:r>
      </w:hyperlink>
    </w:p>
    <w:p>
      <w:pPr>
        <w:pStyle w:val="Heading2"/>
        <w:spacing w:after="80" w:before="200"/>
      </w:pPr>
      <w:r>
        <w:rPr>
          <w:rFonts w:ascii="Arial" w:cs="Arial" w:eastAsia="Arial" w:hAnsi="Arial"/>
          <w:b/>
          <w:bCs/>
          <w:color w:val="1a1a2e"/>
          <w:sz w:val="22"/>
          <w:szCs w:val="22"/>
        </w:rPr>
        <w:t xml:space="preserve">9.4 What Is and Is Not Established</w:t>
      </w:r>
    </w:p>
    <w:p>
      <w:pPr>
        <w:spacing w:after="60" w:before="60" w:line="288"/>
        <w:jc w:val="both"/>
      </w:pPr>
      <w:r>
        <w:rPr>
          <w:rFonts w:ascii="Arial" w:cs="Arial" w:eastAsia="Arial" w:hAnsi="Arial"/>
          <w:b w:val="false"/>
          <w:bCs w:val="false"/>
          <w:i w:val="false"/>
          <w:iCs w:val="false"/>
          <w:color w:val="1a1a1a"/>
          <w:sz w:val="20"/>
          <w:szCs w:val="20"/>
        </w:rPr>
        <w:t xml:space="preserve">What is not proven: that Merkel was Stasi IM "Erika" or any registered informant. Historian Hubertus Knabe — former director of the Hohenschönhausen Memorial and Germany's leading Stasi researcher — found traces of an unofficial collaborator with that codename but concluded: "There is no evidence whatsoever for the claim that Chancellor Merkel worked for the Stasi under the codename 'Erika.' If a corresponding IM file had existed, traces of it should still remain — and that is not the case based on current knowledge."</w:t>
      </w:r>
    </w:p>
    <w:p>
      <w:pPr>
        <w:spacing w:after="60" w:before="60" w:line="288"/>
        <w:jc w:val="both"/>
      </w:pPr>
      <w:r>
        <w:rPr>
          <w:rFonts w:ascii="Arial" w:cs="Arial" w:eastAsia="Arial" w:hAnsi="Arial"/>
          <w:b w:val="false"/>
          <w:bCs w:val="false"/>
          <w:i w:val="false"/>
          <w:iCs w:val="false"/>
          <w:color w:val="1a1a1a"/>
          <w:sz w:val="20"/>
          <w:szCs w:val="20"/>
        </w:rPr>
        <w:t xml:space="preserve">What is established: Merkel enjoyed privileges in the DDR inconsistent with her official status. Her immediate professional environment was heavily surveilled and infiltrated. Her first political patron was a confirmed Stasi informant. Her file exists. She refuses to release it. The court accepted her refusal. The case was delayed for over a year before a ruling was made against the plaintiff.</w:t>
      </w:r>
    </w:p>
    <w:p>
      <w:pPr>
        <w:pStyle w:val="Heading2"/>
        <w:spacing w:after="80" w:before="200"/>
      </w:pPr>
      <w:r>
        <w:rPr>
          <w:rFonts w:ascii="Arial" w:cs="Arial" w:eastAsia="Arial" w:hAnsi="Arial"/>
          <w:b/>
          <w:bCs/>
          <w:color w:val="1a1a2e"/>
          <w:sz w:val="22"/>
          <w:szCs w:val="22"/>
        </w:rPr>
        <w:t xml:space="preserve">9.5 The Structural Pattern</w:t>
      </w:r>
    </w:p>
    <w:p>
      <w:pPr>
        <w:spacing w:after="60" w:before="60" w:line="288"/>
        <w:jc w:val="both"/>
      </w:pPr>
      <w:r>
        <w:rPr>
          <w:rFonts w:ascii="Arial" w:cs="Arial" w:eastAsia="Arial" w:hAnsi="Arial"/>
          <w:b w:val="false"/>
          <w:bCs w:val="false"/>
          <w:i w:val="false"/>
          <w:iCs w:val="false"/>
          <w:color w:val="1a1a1a"/>
          <w:sz w:val="20"/>
          <w:szCs w:val="20"/>
        </w:rPr>
        <w:t xml:space="preserve">The parallel with Von der Leyen's deleted text messages is exact in form:</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communications that would reveal who instructed the Pfizer deal were destroyed. The person whose conduct is in question controlled the evidence.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Merkel: documents that would reveal her DDR intelligence relationships are sealed. The person whose conduct is in question controls consent to release.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In both cases, the institutional system that would compel disclosure is the same system that accepted the explanation for why disclosure cannot happen.</w:t>
      </w:r>
    </w:p>
    <w:p>
      <w:pPr>
        <w:spacing w:after="60" w:before="60" w:line="288"/>
        <w:jc w:val="both"/>
      </w:pPr>
      <w:r>
        <w:rPr>
          <w:rFonts w:ascii="Arial" w:cs="Arial" w:eastAsia="Arial" w:hAnsi="Arial"/>
          <w:b w:val="false"/>
          <w:bCs w:val="false"/>
          <w:i w:val="false"/>
          <w:iCs w:val="false"/>
          <w:color w:val="1a1a1a"/>
          <w:sz w:val="20"/>
          <w:szCs w:val="20"/>
        </w:rPr>
        <w:t xml:space="preserve">A Chancellor who governed Germany for 16 years, who dismissed her own domestic intelligence chief, and who has blocked release of her own intelligence file has successfully prevented any independent verification of her past. The March 2026 ruling confirmed that the legal system will not compel that verification.</w:t>
      </w:r>
    </w:p>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10. Summary Findings</w:t>
      </w:r>
    </w:p>
    <w:p>
      <w:pPr>
        <w:spacing w:after="60" w:before="60" w:line="288"/>
        <w:jc w:val="both"/>
      </w:pPr>
      <w:r>
        <w:rPr>
          <w:rFonts w:ascii="Arial" w:cs="Arial" w:eastAsia="Arial" w:hAnsi="Arial"/>
          <w:b w:val="false"/>
          <w:bCs w:val="false"/>
          <w:i w:val="false"/>
          <w:iCs w:val="false"/>
          <w:color w:val="1a1a1a"/>
          <w:sz w:val="20"/>
          <w:szCs w:val="20"/>
        </w:rPr>
        <w:t xml:space="preserve">The following are established beyond reasonable dispute by primary source documentation:</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personally conducted vaccine procurement through private communications with Pfizer's CEO. Those communications have been destroyed or declared lost. The EU General Court found this explanation implausible.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was installed through a backroom deal engineered by Macron — a former Rothschild banker whose first major deal was for Pfizer, described as a Rothschild protégé.</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Rothschild &amp; Co simultaneously published their own investor relationship with Pfizer on their own website — self-generated primary evidence of proximity to the corporate beneficiary of the contracts their protégé had installed the Commission President to negotiate.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Leyen's 14-year political patron Merkel simultaneously blocked the TRIPS waiver protecting pharmaceutical IP monopolies globally — the same monopolies guaranteed in the contracts.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Leyen's husband's pharmaceutical appointment was undisclosed during the procurement period.</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Both contracts transferred all liability to citizens while companies retained IP funded by public money.</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Member States explicitly acknowledged unknown long-term effects in signed contracts while telling citizens the opposite.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Pfizer's 1,291 adverse event categories identified within 90 days were sought to be withheld for 75 years.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EMA confirmed in writing that vaccines were not authorised to prevent transmission — the stated justification for access restrictions used to functionally compel vaccination.</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Formal mandates were democratically rejected. Near-equivalent compulsion was implemented by executive action, bypassing the same parliamentary scrutiny.</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No principal actor faces criminal charges. Von der Leyen was re-elected Commission President in July 2024.</w:t>
      </w:r>
    </w:p>
    <w:p>
      <w:pPr>
        <w:spacing w:after="40" w:before="0"/>
      </w:pPr>
      <w:r>
        <w:t xml:space="preserve"/>
      </w:r>
    </w:p>
    <w:p>
      <w:pPr>
        <w:pStyle w:val="Heading2"/>
        <w:spacing w:after="80" w:before="200"/>
      </w:pPr>
      <w:r>
        <w:rPr>
          <w:rFonts w:ascii="Arial" w:cs="Arial" w:eastAsia="Arial" w:hAnsi="Arial"/>
          <w:b/>
          <w:bCs/>
          <w:color w:val="1a1a2e"/>
          <w:sz w:val="22"/>
          <w:szCs w:val="22"/>
        </w:rPr>
        <w:t xml:space="preserve">Methodological Note</w:t>
      </w:r>
    </w:p>
    <w:p>
      <w:pPr>
        <w:spacing w:after="60" w:before="60" w:line="288"/>
        <w:jc w:val="both"/>
      </w:pPr>
      <w:r>
        <w:rPr>
          <w:rFonts w:ascii="Arial" w:cs="Arial" w:eastAsia="Arial" w:hAnsi="Arial"/>
          <w:b w:val="false"/>
          <w:bCs w:val="false"/>
          <w:i w:val="false"/>
          <w:iCs w:val="false"/>
          <w:color w:val="1a1a1a"/>
          <w:sz w:val="20"/>
          <w:szCs w:val="20"/>
        </w:rPr>
        <w:t xml:space="preserve">This report is based on primary source documents including the unredacted Pfizer and Moderna APAs, Pfizer's post-marketing adverse event data (5.3.6), the Comirnaty occupational safety datasheet, the EMA letter to MEPs (October 2023), and verified published reporting from the Financial Times, New York Times, Foreign Policy, France 24, Human Rights Watch, Wikipedia, and Rothschild &amp; Co's own published materials. All factual claims about individuals are drawn from verified sources cited inline. The EPPO investigation is ongoing; no criminal findings have been made. Source attribution has been reviewed and corrected in this version.</w:t>
      </w:r>
    </w:p>
    <w:p>
      <w:pPr>
        <w:spacing w:after="40" w:before="0"/>
      </w:pPr>
      <w:r>
        <w:t xml:space="preserve"/>
      </w:r>
    </w:p>
    <w:p>
      <w:pPr>
        <w:jc w:val="center"/>
      </w:pPr>
      <w:r>
        <w:rPr>
          <w:rFonts w:ascii="Arial" w:cs="Arial" w:eastAsia="Arial" w:hAnsi="Arial"/>
          <w:i/>
          <w:iCs/>
          <w:color w:val="777777"/>
          <w:sz w:val="18"/>
          <w:szCs w:val="18"/>
        </w:rPr>
        <w:t xml:space="preserve">Version 6 — May 2026</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600" w:hanging="300"/>
      </w:pPr>
      <w:rPr>
        <w:rFonts w:ascii="Arial" w:cs="Arial" w:eastAsia="Arial" w:hAnsi="Arial"/>
        <w:sz w:val="20"/>
        <w:szCs w:val="20"/>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00"/>
      <w:outlineLvl w:val="0"/>
    </w:pPr>
    <w:rPr>
      <w:rFonts w:ascii="Arial" w:cs="Arial" w:eastAsia="Arial" w:hAnsi="Arial"/>
      <w:b/>
      <w:bCs/>
      <w:color w:val="1a1a2e"/>
      <w:sz w:val="28"/>
      <w:szCs w:val="28"/>
    </w:rPr>
  </w:style>
  <w:style w:type="paragraph" w:styleId="Heading2">
    <w:name w:val="Heading 2"/>
    <w:basedOn w:val="Normal"/>
    <w:next w:val="Normal"/>
    <w:qFormat/>
    <w:pPr>
      <w:spacing w:after="80" w:before="200"/>
      <w:outlineLvl w:val="1"/>
    </w:pPr>
    <w:rPr>
      <w:rFonts w:ascii="Arial" w:cs="Arial" w:eastAsia="Arial" w:hAnsi="Arial"/>
      <w:b/>
      <w:bCs/>
      <w:color w:val="1a1a2e"/>
      <w:sz w:val="22"/>
      <w:szCs w:val="22"/>
    </w:rPr>
  </w:style>
  <w:style w:type="paragraph" w:styleId="Heading3">
    <w:name w:val="Heading 3"/>
    <w:basedOn w:val="Normal"/>
    <w:next w:val="Normal"/>
    <w:qFormat/>
    <w:pPr>
      <w:spacing w:after="60" w:before="160"/>
      <w:outlineLvl w:val="2"/>
    </w:pPr>
    <w:rPr>
      <w:rFonts w:ascii="Arial" w:cs="Arial" w:eastAsia="Arial" w:hAnsi="Arial"/>
      <w:b/>
      <w:bCs/>
      <w:color w:val="333333"/>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ebvo78cgobak0nl9owzfq" Type="http://schemas.openxmlformats.org/officeDocument/2006/relationships/hyperlink" Target="https://www.france24.com/en/20191201-ursula-von-der-leyen-merkel-loyalist-favoured-by-macron" TargetMode="External"/><Relationship Id="rIdd0om7hdbrotfc89dhomr8" Type="http://schemas.openxmlformats.org/officeDocument/2006/relationships/hyperlink" Target="https://foreignpolicy.com/2021/04/30/aristocratic-ineptitude-ursula-von-der-leyen-eu-europe-vaccines-pandemic-response/" TargetMode="External"/><Relationship Id="rId2nz_fyejigunfr0gehjgt" Type="http://schemas.openxmlformats.org/officeDocument/2006/relationships/hyperlink" Target="https://www.kas.de/en/web/geschichte-der-cdu/biogram-detail/-/content/ursula-von-der-leyen-2" TargetMode="External"/><Relationship Id="rId1b6iyqusue8agsilpiof4" Type="http://schemas.openxmlformats.org/officeDocument/2006/relationships/hyperlink" Target="https://money.com/emmanuel-macron-french-president-wealth-net-worth-rich" TargetMode="External"/><Relationship Id="rIdc2ekyt664ywikz7id712z" Type="http://schemas.openxmlformats.org/officeDocument/2006/relationships/hyperlink" Target="https://factually.co/fact-checks/politics/macron-rothschild-connections-french-elite-e0830a" TargetMode="External"/><Relationship Id="rId8x-zykas9xfjuwflhwrgd" Type="http://schemas.openxmlformats.org/officeDocument/2006/relationships/hyperlink" Target="https://greatgameindia.com/inside-macrons-secret-dealings-with-the-rothschilds/" TargetMode="External"/><Relationship Id="rIdal5vq_scb86lbusnanhie" Type="http://schemas.openxmlformats.org/officeDocument/2006/relationships/hyperlink" Target="https://www.hrw.org/news/2021/06/14/merkel-should-steer-eu-covid-19-intellectual-property-waiver" TargetMode="External"/><Relationship Id="rIdsd8elxdq5ygocsrujelug" Type="http://schemas.openxmlformats.org/officeDocument/2006/relationships/hyperlink" Target="https://www.france24.com/en/20191201-ursula-von-der-leyen-merkel-loyalist-favoured-by-macron" TargetMode="External"/><Relationship Id="rIdpevxakjidxbxz6boqe3v9" Type="http://schemas.openxmlformats.org/officeDocument/2006/relationships/hyperlink" Target="https://foreignpolicy.com/2021/04/30/aristocratic-ineptitude-ursula-von-der-leyen-eu-europe-vaccines-pandemic-response/" TargetMode="External"/><Relationship Id="rId9bpkcrzvwdbuqaacmfwe3" Type="http://schemas.openxmlformats.org/officeDocument/2006/relationships/hyperlink" Target="https://www.rothschildandco.com/en/newsroom/insights/2021/04/wm-investment-views-vaccines-and-diagnostics-an-interview-with-pfizer/" TargetMode="External"/><Relationship Id="rIdq7_qvlzbstzxsdigklrzp" Type="http://schemas.openxmlformats.org/officeDocument/2006/relationships/hyperlink" Target="https://article.wn.com/view/2021/11/17/ursula_von_der_leyen_honored_by_atlantic_council_8211_togeth/" TargetMode="External"/><Relationship Id="rIdkpaiusplneq4cwg4qurjp" Type="http://schemas.openxmlformats.org/officeDocument/2006/relationships/hyperlink" Target="https://www.france24.com/en/20191201-ursula-von-der-leyen-merkel-loyalist-favoured-by-macron" TargetMode="External"/><Relationship Id="rIdxu8uxhg9b9cnmjx7npmo9" Type="http://schemas.openxmlformats.org/officeDocument/2006/relationships/hyperlink" Target="https://foreignpolicy.com/2021/04/30/aristocratic-ineptitude-ursula-von-der-leyen-eu-europe-vaccines-pandemic-response/" TargetMode="External"/><Relationship Id="rIdlyvhinebbm-jq5d7o0wcx" Type="http://schemas.openxmlformats.org/officeDocument/2006/relationships/hyperlink" Target="https://www.kas.de/en/web/geschichte-der-cdu/biogram-detail/-/content/ursula-von-der-leyen-2" TargetMode="External"/><Relationship Id="rIddk5fy1eygw4qugombdlyx" Type="http://schemas.openxmlformats.org/officeDocument/2006/relationships/hyperlink" Target="https://foreignpolicy.com/2021/04/30/aristocratic-ineptitude-ursula-von-der-leyen-eu-europe-vaccines-pandemic-response/" TargetMode="External"/><Relationship Id="rIdmukhvy_lgffrbevqstfqt" Type="http://schemas.openxmlformats.org/officeDocument/2006/relationships/hyperlink" Target="https://www.france24.com/en/20191201-ursula-von-der-leyen-merkel-loyalist-favoured-by-macron" TargetMode="External"/><Relationship Id="rIdnbqbudtvrhiy4pcyjmk8z" Type="http://schemas.openxmlformats.org/officeDocument/2006/relationships/hyperlink" Target="https://en.wikipedia.org/wiki/Ursula_von_der_Leyen" TargetMode="External"/><Relationship Id="rIdrlstxxhjeytrripudocl5" Type="http://schemas.openxmlformats.org/officeDocument/2006/relationships/hyperlink" Target="https://www.kas.de/en/web/geschichte-der-cdu/biogram-detail/-/content/ursula-von-der-leyen-2" TargetMode="External"/><Relationship Id="rIdw_5dcubieswafswcuom17" Type="http://schemas.openxmlformats.org/officeDocument/2006/relationships/hyperlink" Target="https://factually.co/fact-checks/politics/macron-rothschild-connections-french-elite-e0830a" TargetMode="External"/><Relationship Id="rIdlcm_mgmnoofxcipsjbs8z" Type="http://schemas.openxmlformats.org/officeDocument/2006/relationships/hyperlink" Target="https://money.com/emmanuel-macron-french-president-wealth-net-worth-rich" TargetMode="External"/><Relationship Id="rIdlgot5ioog-orjt-git2ky" Type="http://schemas.openxmlformats.org/officeDocument/2006/relationships/hyperlink" Target="https://www.rothschildandco.com/en/newsroom/insights/2021/04/wm-investment-views-vaccines-and-diagnostics-an-interview-with-pfizer/" TargetMode="External"/><Relationship Id="rIdqtjigzth80x5odq3ovrjo" Type="http://schemas.openxmlformats.org/officeDocument/2006/relationships/hyperlink" Target="https://www.hrw.org/news/2021/06/14/merkel-should-steer-eu-covid-19-intellectual-property-waiver" TargetMode="External"/><Relationship Id="rIdvhvkxeezxu1cykxxovzzb" Type="http://schemas.openxmlformats.org/officeDocument/2006/relationships/hyperlink" Target="https://article.wn.com/view/2021/11/17/ursula_von_der_leyen_honored_by_atlantic_council_8211_togeth/" TargetMode="External"/><Relationship Id="rIdjlerhtsealahawhunrelx" Type="http://schemas.openxmlformats.org/officeDocument/2006/relationships/hyperlink" Target="https://www.facebook.com/HansGeorgMaassen/posts/die-ver%C3%B6ffentlichung-der-stasi-akte-der-frau-merkel-ist-im-interesse-der-demokra/1336877634559419/" TargetMode="External"/><Relationship Id="rIdjwtccyzf0zdhonn5yppxc" Type="http://schemas.openxmlformats.org/officeDocument/2006/relationships/hyperlink" Target="https://www.berliner-zeitung.de/politik-gesellschaft/was-steht-in-merkels-stasi-akte-verwaltungsgericht-urteilt-ueber-herausgabeantrag-li.10024273" TargetMode="External"/><Relationship Id="rIdbq42b9vg8nuqwtfyk69mu" Type="http://schemas.openxmlformats.org/officeDocument/2006/relationships/hyperlink" Target="https://elizaonsteroids.org/en/posts/merkel-stasi-akte-verschluss-2026/" TargetMode="External"/><Relationship Id="rIdpgbx9tus4wbeayindw1sx" Type="http://schemas.openxmlformats.org/officeDocument/2006/relationships/hyperlink" Target="https://journalistenwatch.com/2025/09/27/berliner-verwaltungsgericht-verschleppt-klage-zur-freigabe-von-merkels-stasi-unterlagen/" TargetMode="External"/><Relationship Id="rIdjakxaokxbh5rtfi3me7bc" Type="http://schemas.openxmlformats.org/officeDocument/2006/relationships/hyperlink" Target="https://www.kettner-edelmetalle.de/news/stasi-vergangenheit-von-angela-merkel-eine-erdruckende-indizienkette-12-05-2025" TargetMode="External"/><Relationship Id="rId7" Type="http://schemas.openxmlformats.org/officeDocument/2006/relationships/image" Target="media/8119f586973284a724d230b65a3a8edbf0d0a8db.jpg"/><Relationship Id="rId36"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2026-05-21T23:33:20.309Z</dcterms:created>
  <dcterms:modified xsi:type="dcterms:W3CDTF">2026-05-21T23:33:20.310Z</dcterms:modified>
</cp:coreProperties>
</file>

<file path=docProps/custom.xml><?xml version="1.0" encoding="utf-8"?>
<Properties xmlns="http://schemas.openxmlformats.org/officeDocument/2006/custom-properties" xmlns:vt="http://schemas.openxmlformats.org/officeDocument/2006/docPropsVTypes"/>
</file>